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B4E70" w14:textId="77777777" w:rsidR="009F325D" w:rsidRDefault="006040A0" w:rsidP="009F325D">
      <w:pPr>
        <w:pStyle w:val="Didascalia"/>
        <w:jc w:val="right"/>
        <w:rPr>
          <w:lang w:val="it-IT"/>
        </w:rPr>
      </w:pPr>
      <w:r>
        <w:rPr>
          <w:lang w:val="it-IT"/>
        </w:rPr>
        <w:t xml:space="preserve">   </w:t>
      </w:r>
      <w:r w:rsidR="00851A54">
        <w:rPr>
          <w:noProof/>
          <w:lang w:val="it-IT" w:eastAsia="it-IT"/>
        </w:rPr>
        <w:drawing>
          <wp:inline distT="0" distB="0" distL="0" distR="0" wp14:anchorId="009B4F23" wp14:editId="009B4F24">
            <wp:extent cx="2555890" cy="629071"/>
            <wp:effectExtent l="0" t="0" r="0" b="0"/>
            <wp:docPr id="2" name="Immagine 2" descr="C:\Users\Max\Google Drive\_Rendimento Fondi\LOGO\nuovi\rendimentofondilogo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Google Drive\_Rendimento Fondi\LOGO\nuovi\rendimentofondilogode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581" cy="629979"/>
                    </a:xfrm>
                    <a:prstGeom prst="rect">
                      <a:avLst/>
                    </a:prstGeom>
                    <a:noFill/>
                    <a:ln>
                      <a:noFill/>
                    </a:ln>
                  </pic:spPr>
                </pic:pic>
              </a:graphicData>
            </a:graphic>
          </wp:inline>
        </w:drawing>
      </w:r>
    </w:p>
    <w:p w14:paraId="009B4E71" w14:textId="77777777" w:rsidR="00851A54" w:rsidRDefault="00851A54" w:rsidP="009F325D">
      <w:pPr>
        <w:pStyle w:val="Titolo"/>
        <w:rPr>
          <w:lang w:val="it-IT"/>
        </w:rPr>
      </w:pPr>
    </w:p>
    <w:p w14:paraId="6B582E0E" w14:textId="77777777" w:rsidR="0071024D" w:rsidRDefault="0071024D" w:rsidP="0071024D">
      <w:pPr>
        <w:pStyle w:val="Titolo"/>
        <w:rPr>
          <w:lang w:val="it-IT"/>
        </w:rPr>
      </w:pPr>
      <w:r w:rsidRPr="006040A0">
        <w:rPr>
          <w:lang w:val="it-IT"/>
        </w:rPr>
        <w:t>R</w:t>
      </w:r>
      <w:r>
        <w:rPr>
          <w:lang w:val="it-IT"/>
        </w:rPr>
        <w:t xml:space="preserve">ENDIMENTO  </w:t>
      </w:r>
    </w:p>
    <w:p w14:paraId="30EBB032" w14:textId="77777777" w:rsidR="0071024D" w:rsidRPr="006040A0" w:rsidRDefault="0071024D" w:rsidP="0071024D">
      <w:pPr>
        <w:pStyle w:val="Titolo"/>
        <w:rPr>
          <w:lang w:val="it-IT"/>
        </w:rPr>
      </w:pPr>
      <w:r>
        <w:rPr>
          <w:lang w:val="it-IT"/>
        </w:rPr>
        <w:t>FONDI</w:t>
      </w:r>
    </w:p>
    <w:p w14:paraId="5CD33139" w14:textId="4E67A69C" w:rsidR="0071024D" w:rsidRPr="002620AF" w:rsidRDefault="0071024D" w:rsidP="0071024D">
      <w:pPr>
        <w:pStyle w:val="Sottotitolo"/>
        <w:rPr>
          <w:lang w:val="it-IT"/>
        </w:rPr>
      </w:pPr>
      <w:r>
        <w:rPr>
          <w:snapToGrid w:val="0"/>
          <w:lang w:val="it-IT"/>
        </w:rPr>
        <w:t>2018</w:t>
      </w:r>
      <w:r w:rsidRPr="002620AF">
        <w:rPr>
          <w:snapToGrid w:val="0"/>
          <w:lang w:val="it-IT"/>
        </w:rPr>
        <w:t xml:space="preserve"> / </w:t>
      </w:r>
      <w:r w:rsidR="003209C2">
        <w:rPr>
          <w:snapToGrid w:val="0"/>
          <w:lang w:val="it-IT"/>
        </w:rPr>
        <w:t>NOVEMBRE</w:t>
      </w:r>
    </w:p>
    <w:p w14:paraId="2D14475A" w14:textId="32546D00" w:rsidR="0071024D" w:rsidRPr="00873268" w:rsidRDefault="0071024D" w:rsidP="0071024D">
      <w:pPr>
        <w:pStyle w:val="Titolo1"/>
        <w:rPr>
          <w:lang w:val="it-IT"/>
        </w:rPr>
      </w:pPr>
      <w:r>
        <w:rPr>
          <w:noProof/>
          <w:lang w:val="it-IT" w:eastAsia="it-IT"/>
        </w:rPr>
        <mc:AlternateContent>
          <mc:Choice Requires="wps">
            <w:drawing>
              <wp:anchor distT="182880" distB="182880" distL="274320" distR="274320" simplePos="0" relativeHeight="251658256" behindDoc="0" locked="0" layoutInCell="1" allowOverlap="0" wp14:anchorId="7D28C4D5" wp14:editId="439B078D">
                <wp:simplePos x="0" y="0"/>
                <wp:positionH relativeFrom="margin">
                  <wp:align>left</wp:align>
                </wp:positionH>
                <wp:positionV relativeFrom="paragraph">
                  <wp:posOffset>3175</wp:posOffset>
                </wp:positionV>
                <wp:extent cx="2240280" cy="4108450"/>
                <wp:effectExtent l="0" t="0" r="7620" b="12700"/>
                <wp:wrapSquare wrapText="bothSides"/>
                <wp:docPr id="15" name="Casella di testo 15"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40280" cy="410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ella che contiene un'intestazione laterale con testo e una foto."/>
                            </w:tblPr>
                            <w:tblGrid>
                              <w:gridCol w:w="3518"/>
                            </w:tblGrid>
                            <w:tr w:rsidR="00F108CF" w:rsidRPr="00DD1CAF" w14:paraId="52AD379B" w14:textId="77777777">
                              <w:trPr>
                                <w:trHeight w:hRule="exact" w:val="6048"/>
                              </w:trPr>
                              <w:tc>
                                <w:tcPr>
                                  <w:tcW w:w="3518" w:type="dxa"/>
                                  <w:shd w:val="clear" w:color="auto" w:fill="4472C4" w:themeFill="accent1"/>
                                  <w:tcMar>
                                    <w:top w:w="288" w:type="dxa"/>
                                    <w:bottom w:w="288" w:type="dxa"/>
                                  </w:tcMar>
                                </w:tcPr>
                                <w:p w14:paraId="4FECD369" w14:textId="77777777" w:rsidR="00F108CF" w:rsidRPr="00156EF6" w:rsidRDefault="00F108CF" w:rsidP="008A30DF">
                                  <w:pPr>
                                    <w:pStyle w:val="Testodelblocco"/>
                                    <w:rPr>
                                      <w:rFonts w:asciiTheme="majorHAnsi" w:eastAsiaTheme="majorEastAsia" w:hAnsiTheme="majorHAnsi" w:cstheme="majorBidi"/>
                                      <w:b/>
                                      <w:bCs/>
                                      <w:caps/>
                                      <w:noProof/>
                                      <w:sz w:val="28"/>
                                      <w:lang w:val="it-IT"/>
                                    </w:rPr>
                                  </w:pPr>
                                  <w:r w:rsidRPr="00156EF6">
                                    <w:rPr>
                                      <w:rFonts w:asciiTheme="majorHAnsi" w:eastAsiaTheme="majorEastAsia" w:hAnsiTheme="majorHAnsi" w:cstheme="majorBidi"/>
                                      <w:b/>
                                      <w:bCs/>
                                      <w:caps/>
                                      <w:noProof/>
                                      <w:sz w:val="28"/>
                                      <w:lang w:val="it-IT"/>
                                    </w:rPr>
                                    <w:t>IL QUADRO DI SINTESI</w:t>
                                  </w:r>
                                </w:p>
                                <w:p w14:paraId="0C7CAEB5" w14:textId="77777777" w:rsidR="00DD1CAF" w:rsidRDefault="00DD1CAF" w:rsidP="00DD1CAF">
                                  <w:pPr>
                                    <w:pStyle w:val="Testodelblocco"/>
                                    <w:rPr>
                                      <w:noProof/>
                                      <w:lang w:val="it-IT"/>
                                    </w:rPr>
                                  </w:pPr>
                                  <w:r>
                                    <w:rPr>
                                      <w:noProof/>
                                      <w:lang w:val="it-IT"/>
                                    </w:rPr>
                                    <w:t>Le elezini USA di metà mandato fanno segnare il passo a Trump.</w:t>
                                  </w:r>
                                </w:p>
                                <w:p w14:paraId="264716CB" w14:textId="77777777" w:rsidR="00DD1CAF" w:rsidRDefault="00DD1CAF" w:rsidP="00DD1CAF">
                                  <w:pPr>
                                    <w:pStyle w:val="Testodelblocco"/>
                                    <w:rPr>
                                      <w:noProof/>
                                      <w:lang w:val="it-IT"/>
                                    </w:rPr>
                                  </w:pPr>
                                  <w:r>
                                    <w:rPr>
                                      <w:noProof/>
                                      <w:lang w:val="it-IT"/>
                                    </w:rPr>
                                    <w:t>E’ sempre scontro tra Italia e UE sulla legge di bilnacio.</w:t>
                                  </w:r>
                                </w:p>
                                <w:p w14:paraId="23C4DF0A" w14:textId="104236B3" w:rsidR="00F108CF" w:rsidRPr="0077546C" w:rsidRDefault="00DD1CAF" w:rsidP="00DD1CAF">
                                  <w:pPr>
                                    <w:pStyle w:val="Testodelblocco"/>
                                    <w:jc w:val="both"/>
                                    <w:rPr>
                                      <w:noProof/>
                                      <w:lang w:val="it-IT"/>
                                    </w:rPr>
                                  </w:pPr>
                                  <w:r>
                                    <w:rPr>
                                      <w:noProof/>
                                      <w:lang w:val="it-IT"/>
                                    </w:rPr>
                                    <w:t>Potenziali fattori a favore della ripresa dell’azionario nel breve termine, ma non mancano le incognite.</w:t>
                                  </w:r>
                                </w:p>
                              </w:tc>
                            </w:tr>
                            <w:tr w:rsidR="00F108CF" w:rsidRPr="00DD1CAF" w14:paraId="292AFAAC" w14:textId="77777777">
                              <w:trPr>
                                <w:trHeight w:hRule="exact" w:val="288"/>
                              </w:trPr>
                              <w:tc>
                                <w:tcPr>
                                  <w:tcW w:w="3518" w:type="dxa"/>
                                </w:tcPr>
                                <w:p w14:paraId="5A3B1F42" w14:textId="77777777" w:rsidR="00F108CF" w:rsidRPr="0077546C" w:rsidRDefault="00F108CF">
                                  <w:pPr>
                                    <w:rPr>
                                      <w:noProof/>
                                      <w:lang w:val="it-IT"/>
                                    </w:rPr>
                                  </w:pPr>
                                </w:p>
                              </w:tc>
                            </w:tr>
                            <w:tr w:rsidR="00F108CF" w:rsidRPr="00DD1CAF" w14:paraId="469392F0" w14:textId="77777777">
                              <w:trPr>
                                <w:trHeight w:hRule="exact" w:val="3312"/>
                              </w:trPr>
                              <w:tc>
                                <w:tcPr>
                                  <w:tcW w:w="3518" w:type="dxa"/>
                                </w:tcPr>
                                <w:p w14:paraId="70DF6E33" w14:textId="77777777" w:rsidR="00F108CF" w:rsidRPr="0077546C" w:rsidRDefault="00F108CF">
                                  <w:pPr>
                                    <w:rPr>
                                      <w:noProof/>
                                      <w:lang w:val="it-IT"/>
                                    </w:rPr>
                                  </w:pPr>
                                </w:p>
                              </w:tc>
                            </w:tr>
                          </w:tbl>
                          <w:sdt>
                            <w:sdtPr>
                              <w:rPr>
                                <w:noProof/>
                                <w:lang w:val="it-IT"/>
                              </w:rPr>
                              <w:id w:val="251244094"/>
                              <w:placeholder>
                                <w:docPart w:val="3C0DFC58F5C34CA5977D004AAB13772F"/>
                              </w:placeholder>
                              <w:temporary/>
                              <w:showingPlcHdr/>
                              <w:text/>
                            </w:sdtPr>
                            <w:sdtEndPr/>
                            <w:sdtContent>
                              <w:p w14:paraId="2678D722" w14:textId="77777777" w:rsidR="00F108CF" w:rsidRPr="0077546C" w:rsidRDefault="00F108CF" w:rsidP="0071024D">
                                <w:pPr>
                                  <w:pStyle w:val="Didascalia"/>
                                  <w:rPr>
                                    <w:noProof/>
                                    <w:lang w:val="it-IT"/>
                                  </w:rPr>
                                </w:pPr>
                                <w:r w:rsidRPr="0077546C">
                                  <w:rPr>
                                    <w:noProof/>
                                    <w:lang w:val="it-IT"/>
                                  </w:rPr>
                                  <w:t>[Fare clic qui per aggiungere una didascalia]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6" type="#_x0000_t202" alt="Descrizione: Text box sidebar for laying out a highlighted story and photo." style="position:absolute;margin-left:0;margin-top:.25pt;width:176.4pt;height:323.5pt;z-index:251658256;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ella che contiene un'intestazione laterale con testo e una foto."/>
                      </w:tblPr>
                      <w:tblGrid>
                        <w:gridCol w:w="3518"/>
                      </w:tblGrid>
                      <w:tr w:rsidR="00F108CF" w:rsidRPr="00DD1CAF" w14:paraId="52AD379B" w14:textId="77777777">
                        <w:trPr>
                          <w:trHeight w:hRule="exact" w:val="6048"/>
                        </w:trPr>
                        <w:tc>
                          <w:tcPr>
                            <w:tcW w:w="3518" w:type="dxa"/>
                            <w:shd w:val="clear" w:color="auto" w:fill="4472C4" w:themeFill="accent1"/>
                            <w:tcMar>
                              <w:top w:w="288" w:type="dxa"/>
                              <w:bottom w:w="288" w:type="dxa"/>
                            </w:tcMar>
                          </w:tcPr>
                          <w:p w14:paraId="4FECD369" w14:textId="77777777" w:rsidR="00F108CF" w:rsidRPr="00156EF6" w:rsidRDefault="00F108CF" w:rsidP="008A30DF">
                            <w:pPr>
                              <w:pStyle w:val="Testodelblocco"/>
                              <w:rPr>
                                <w:rFonts w:asciiTheme="majorHAnsi" w:eastAsiaTheme="majorEastAsia" w:hAnsiTheme="majorHAnsi" w:cstheme="majorBidi"/>
                                <w:b/>
                                <w:bCs/>
                                <w:caps/>
                                <w:noProof/>
                                <w:sz w:val="28"/>
                                <w:lang w:val="it-IT"/>
                              </w:rPr>
                            </w:pPr>
                            <w:r w:rsidRPr="00156EF6">
                              <w:rPr>
                                <w:rFonts w:asciiTheme="majorHAnsi" w:eastAsiaTheme="majorEastAsia" w:hAnsiTheme="majorHAnsi" w:cstheme="majorBidi"/>
                                <w:b/>
                                <w:bCs/>
                                <w:caps/>
                                <w:noProof/>
                                <w:sz w:val="28"/>
                                <w:lang w:val="it-IT"/>
                              </w:rPr>
                              <w:t>IL QUADRO DI SINTESI</w:t>
                            </w:r>
                          </w:p>
                          <w:p w14:paraId="0C7CAEB5" w14:textId="77777777" w:rsidR="00DD1CAF" w:rsidRDefault="00DD1CAF" w:rsidP="00DD1CAF">
                            <w:pPr>
                              <w:pStyle w:val="Testodelblocco"/>
                              <w:rPr>
                                <w:noProof/>
                                <w:lang w:val="it-IT"/>
                              </w:rPr>
                            </w:pPr>
                            <w:r>
                              <w:rPr>
                                <w:noProof/>
                                <w:lang w:val="it-IT"/>
                              </w:rPr>
                              <w:t>Le elezini USA di metà mandato fanno segnare il passo a Trump.</w:t>
                            </w:r>
                          </w:p>
                          <w:p w14:paraId="264716CB" w14:textId="77777777" w:rsidR="00DD1CAF" w:rsidRDefault="00DD1CAF" w:rsidP="00DD1CAF">
                            <w:pPr>
                              <w:pStyle w:val="Testodelblocco"/>
                              <w:rPr>
                                <w:noProof/>
                                <w:lang w:val="it-IT"/>
                              </w:rPr>
                            </w:pPr>
                            <w:r>
                              <w:rPr>
                                <w:noProof/>
                                <w:lang w:val="it-IT"/>
                              </w:rPr>
                              <w:t>E’ sempre scontro tra Italia e UE sulla legge di bilnacio.</w:t>
                            </w:r>
                          </w:p>
                          <w:p w14:paraId="23C4DF0A" w14:textId="104236B3" w:rsidR="00F108CF" w:rsidRPr="0077546C" w:rsidRDefault="00DD1CAF" w:rsidP="00DD1CAF">
                            <w:pPr>
                              <w:pStyle w:val="Testodelblocco"/>
                              <w:jc w:val="both"/>
                              <w:rPr>
                                <w:noProof/>
                                <w:lang w:val="it-IT"/>
                              </w:rPr>
                            </w:pPr>
                            <w:r>
                              <w:rPr>
                                <w:noProof/>
                                <w:lang w:val="it-IT"/>
                              </w:rPr>
                              <w:t>Potenziali fattori a favore della ripresa dell’azionario nel breve termine, ma non mancano le incognite.</w:t>
                            </w:r>
                          </w:p>
                        </w:tc>
                      </w:tr>
                      <w:tr w:rsidR="00F108CF" w:rsidRPr="00DD1CAF" w14:paraId="292AFAAC" w14:textId="77777777">
                        <w:trPr>
                          <w:trHeight w:hRule="exact" w:val="288"/>
                        </w:trPr>
                        <w:tc>
                          <w:tcPr>
                            <w:tcW w:w="3518" w:type="dxa"/>
                          </w:tcPr>
                          <w:p w14:paraId="5A3B1F42" w14:textId="77777777" w:rsidR="00F108CF" w:rsidRPr="0077546C" w:rsidRDefault="00F108CF">
                            <w:pPr>
                              <w:rPr>
                                <w:noProof/>
                                <w:lang w:val="it-IT"/>
                              </w:rPr>
                            </w:pPr>
                          </w:p>
                        </w:tc>
                      </w:tr>
                      <w:tr w:rsidR="00F108CF" w:rsidRPr="00DD1CAF" w14:paraId="469392F0" w14:textId="77777777">
                        <w:trPr>
                          <w:trHeight w:hRule="exact" w:val="3312"/>
                        </w:trPr>
                        <w:tc>
                          <w:tcPr>
                            <w:tcW w:w="3518" w:type="dxa"/>
                          </w:tcPr>
                          <w:p w14:paraId="70DF6E33" w14:textId="77777777" w:rsidR="00F108CF" w:rsidRPr="0077546C" w:rsidRDefault="00F108CF">
                            <w:pPr>
                              <w:rPr>
                                <w:noProof/>
                                <w:lang w:val="it-IT"/>
                              </w:rPr>
                            </w:pPr>
                          </w:p>
                        </w:tc>
                      </w:tr>
                    </w:tbl>
                    <w:sdt>
                      <w:sdtPr>
                        <w:rPr>
                          <w:noProof/>
                          <w:lang w:val="it-IT"/>
                        </w:rPr>
                        <w:id w:val="251244094"/>
                        <w:placeholder>
                          <w:docPart w:val="3C0DFC58F5C34CA5977D004AAB13772F"/>
                        </w:placeholder>
                        <w:temporary/>
                        <w:showingPlcHdr/>
                        <w:text/>
                      </w:sdtPr>
                      <w:sdtEndPr/>
                      <w:sdtContent>
                        <w:p w14:paraId="2678D722" w14:textId="77777777" w:rsidR="00F108CF" w:rsidRPr="0077546C" w:rsidRDefault="00F108CF" w:rsidP="0071024D">
                          <w:pPr>
                            <w:pStyle w:val="Didascalia"/>
                            <w:rPr>
                              <w:noProof/>
                              <w:lang w:val="it-IT"/>
                            </w:rPr>
                          </w:pPr>
                          <w:r w:rsidRPr="0077546C">
                            <w:rPr>
                              <w:noProof/>
                              <w:lang w:val="it-IT"/>
                            </w:rPr>
                            <w:t>[Fare clic qui per aggiungere una didascalia]</w:t>
                          </w:r>
                        </w:p>
                      </w:sdtContent>
                    </w:sdt>
                  </w:txbxContent>
                </v:textbox>
                <w10:wrap type="square" anchorx="margin"/>
              </v:shape>
            </w:pict>
          </mc:Fallback>
        </mc:AlternateContent>
      </w:r>
      <w:r>
        <w:rPr>
          <w:lang w:val="it-IT"/>
        </w:rPr>
        <w:t>I FATTI SALIENTI</w:t>
      </w:r>
    </w:p>
    <w:p w14:paraId="52D15CB9" w14:textId="77777777" w:rsidR="00DD1CAF" w:rsidRPr="00DD1CAF" w:rsidRDefault="00DD1CAF" w:rsidP="00DD1CAF">
      <w:pPr>
        <w:jc w:val="both"/>
        <w:rPr>
          <w:rFonts w:ascii="Georgia" w:hAnsi="Georgia"/>
          <w:color w:val="auto"/>
          <w:lang w:val="it-IT"/>
        </w:rPr>
      </w:pPr>
      <w:r w:rsidRPr="00DD1CAF">
        <w:rPr>
          <w:rFonts w:ascii="Georgia" w:hAnsi="Georgia"/>
          <w:color w:val="auto"/>
          <w:lang w:val="it-IT"/>
        </w:rPr>
        <w:t>L’evento più importante delle ultime settimane è stato indubbiamente il voto negli USA per le elezioni di metà mandato. Per il resto abbiamo osservato un proseguire della diatriba/polemica tra Italia e UE sulla legge di bilancio, che i mercati hanno iniziato a vivere stancamente, ormai assuefatti dalle troppe parole spesso fuori luogo.</w:t>
      </w:r>
    </w:p>
    <w:p w14:paraId="44DF01BE" w14:textId="77777777" w:rsidR="00DD1CAF" w:rsidRPr="00DD1CAF" w:rsidRDefault="00DD1CAF" w:rsidP="00DD1CAF">
      <w:pPr>
        <w:jc w:val="both"/>
        <w:rPr>
          <w:rFonts w:ascii="Georgia" w:hAnsi="Georgia"/>
          <w:color w:val="auto"/>
          <w:lang w:val="it-IT"/>
        </w:rPr>
      </w:pPr>
      <w:r w:rsidRPr="00DD1CAF">
        <w:rPr>
          <w:rFonts w:ascii="Georgia" w:hAnsi="Georgia"/>
          <w:color w:val="auto"/>
          <w:lang w:val="it-IT"/>
        </w:rPr>
        <w:t>Intanto dal canto suo il nostro esecutivo ha risposto con un diniego alle richieste di modifica di Bruxelles e ora la palla torna ai burocrati di questa stanca Europa. Il mercato non ha reagito bene, ma nemmeno così male come si sarebbe potuto pensare. Ormai la sensazione prevalente è che si giungerà ad un accordo, perché ambo le parti hanno tutto da perdere e nulla da guadagnare.</w:t>
      </w:r>
    </w:p>
    <w:p w14:paraId="3A52BC60" w14:textId="77777777" w:rsidR="00DD1CAF" w:rsidRPr="00DD1CAF" w:rsidRDefault="00DD1CAF" w:rsidP="00DD1CAF">
      <w:pPr>
        <w:jc w:val="both"/>
        <w:rPr>
          <w:rFonts w:ascii="Georgia" w:hAnsi="Georgia"/>
          <w:color w:val="auto"/>
          <w:lang w:val="it-IT"/>
        </w:rPr>
      </w:pPr>
      <w:r w:rsidRPr="00DD1CAF">
        <w:rPr>
          <w:rFonts w:ascii="Georgia" w:hAnsi="Georgia"/>
          <w:color w:val="auto"/>
          <w:lang w:val="it-IT"/>
        </w:rPr>
        <w:t xml:space="preserve">Tornando alle elezioni </w:t>
      </w:r>
      <w:proofErr w:type="spellStart"/>
      <w:r w:rsidRPr="00DD1CAF">
        <w:rPr>
          <w:rFonts w:ascii="Georgia" w:hAnsi="Georgia"/>
          <w:color w:val="auto"/>
          <w:lang w:val="it-IT"/>
        </w:rPr>
        <w:t>mid</w:t>
      </w:r>
      <w:proofErr w:type="spellEnd"/>
      <w:r w:rsidRPr="00DD1CAF">
        <w:rPr>
          <w:rFonts w:ascii="Georgia" w:hAnsi="Georgia"/>
          <w:color w:val="auto"/>
          <w:lang w:val="it-IT"/>
        </w:rPr>
        <w:t xml:space="preserve"> </w:t>
      </w:r>
      <w:proofErr w:type="spellStart"/>
      <w:r w:rsidRPr="00DD1CAF">
        <w:rPr>
          <w:rFonts w:ascii="Georgia" w:hAnsi="Georgia"/>
          <w:color w:val="auto"/>
          <w:lang w:val="it-IT"/>
        </w:rPr>
        <w:t>term</w:t>
      </w:r>
      <w:proofErr w:type="spellEnd"/>
      <w:r w:rsidRPr="00DD1CAF">
        <w:rPr>
          <w:rFonts w:ascii="Georgia" w:hAnsi="Georgia"/>
          <w:color w:val="auto"/>
          <w:lang w:val="it-IT"/>
        </w:rPr>
        <w:t xml:space="preserve"> USA, come sappiamo i Democratici hanno espugnato la Camera e questo ovviamente mette potenzialmente in discussione alcuni punti del programma di Trump. Ora, tra ballottaggi e </w:t>
      </w:r>
      <w:proofErr w:type="spellStart"/>
      <w:r w:rsidRPr="00DD1CAF">
        <w:rPr>
          <w:rFonts w:ascii="Georgia" w:hAnsi="Georgia"/>
          <w:color w:val="auto"/>
          <w:lang w:val="it-IT"/>
        </w:rPr>
        <w:t>riconteggi</w:t>
      </w:r>
      <w:proofErr w:type="spellEnd"/>
      <w:r w:rsidRPr="00DD1CAF">
        <w:rPr>
          <w:rFonts w:ascii="Georgia" w:hAnsi="Georgia"/>
          <w:color w:val="auto"/>
          <w:lang w:val="it-IT"/>
        </w:rPr>
        <w:t>, quella che sembrava una vittoria modesta per i Democratici e una buona prova di resistenza dei Repubblicani sta iniziando ad assumere contorni differenti.</w:t>
      </w:r>
    </w:p>
    <w:p w14:paraId="13118D5D" w14:textId="77777777" w:rsidR="00DD1CAF" w:rsidRPr="00DD1CAF" w:rsidRDefault="00DD1CAF" w:rsidP="00DD1CAF">
      <w:pPr>
        <w:jc w:val="both"/>
        <w:rPr>
          <w:rFonts w:ascii="Georgia" w:hAnsi="Georgia"/>
          <w:color w:val="auto"/>
          <w:lang w:val="it-IT"/>
        </w:rPr>
      </w:pPr>
      <w:r w:rsidRPr="00DD1CAF">
        <w:rPr>
          <w:rFonts w:ascii="Georgia" w:hAnsi="Georgia"/>
          <w:color w:val="auto"/>
          <w:lang w:val="it-IT"/>
        </w:rPr>
        <w:t xml:space="preserve">L’analisi è di Brian </w:t>
      </w:r>
      <w:proofErr w:type="spellStart"/>
      <w:r w:rsidRPr="00DD1CAF">
        <w:rPr>
          <w:rFonts w:ascii="Georgia" w:hAnsi="Georgia"/>
          <w:color w:val="auto"/>
          <w:lang w:val="it-IT"/>
        </w:rPr>
        <w:t>Stelter</w:t>
      </w:r>
      <w:proofErr w:type="spellEnd"/>
      <w:r w:rsidRPr="00DD1CAF">
        <w:rPr>
          <w:rFonts w:ascii="Georgia" w:hAnsi="Georgia"/>
          <w:color w:val="auto"/>
          <w:lang w:val="it-IT"/>
        </w:rPr>
        <w:t>, importante giornalista della CNN, che mette in evidenza come le elezioni per il Senato dell’Arizona siano state decise soltanto lunedì e siano state vinte dalla candidata del Partito Democratico, la quale rappresenterà uno Stato che non aveva un senatore Democratico dal 1995. È una indubbia sconfitta dei Repubblicani. I Democratici contano già su 227 seggi sicuri, 34 in più dei 193 precedenti alle elezioni. Ce ne sono ancora 10 da assegnare: in quattro sono in vantaggio i Democratici, in sei i Repubblicani. Anche se d’ora in poi andasse tutto storto per i Democratici – ed è poco probabile – avrebbero 19 seggi di vantaggio sui Repubblicani, e nove in più della maggioranza.</w:t>
      </w:r>
    </w:p>
    <w:p w14:paraId="118342B6" w14:textId="2368DE23" w:rsidR="001726B3" w:rsidRDefault="00DD1CAF" w:rsidP="00DD1CAF">
      <w:pPr>
        <w:jc w:val="both"/>
        <w:rPr>
          <w:rFonts w:ascii="Georgia" w:hAnsi="Georgia"/>
          <w:color w:val="auto"/>
          <w:lang w:val="it-IT"/>
        </w:rPr>
      </w:pPr>
      <w:r w:rsidRPr="00DD1CAF">
        <w:rPr>
          <w:rFonts w:ascii="Georgia" w:hAnsi="Georgia"/>
          <w:color w:val="auto"/>
          <w:lang w:val="it-IT"/>
        </w:rPr>
        <w:t>Quindi le politiche di Trump potrebbero essere molto ridimensionate e quindi sarà molto importante vedere come si riassesteranno gli equilibri e quali iniziative i Democratici intenderanno muovere contro Trump.</w:t>
      </w:r>
    </w:p>
    <w:p w14:paraId="4FB36F60" w14:textId="77777777" w:rsidR="00F64364" w:rsidRDefault="00F64364" w:rsidP="00F64364">
      <w:pPr>
        <w:jc w:val="both"/>
        <w:rPr>
          <w:rFonts w:ascii="Georgia" w:hAnsi="Georgia"/>
          <w:color w:val="auto"/>
          <w:lang w:val="it-IT"/>
        </w:rPr>
      </w:pPr>
    </w:p>
    <w:p w14:paraId="78347540" w14:textId="04A3DEA6" w:rsidR="00F64364" w:rsidRPr="006C682F" w:rsidRDefault="003842A3" w:rsidP="00F64364">
      <w:pPr>
        <w:spacing w:after="120"/>
        <w:rPr>
          <w:rFonts w:asciiTheme="majorHAnsi" w:eastAsiaTheme="majorEastAsia" w:hAnsiTheme="majorHAnsi" w:cstheme="majorBidi"/>
          <w:b/>
          <w:bCs/>
          <w:caps/>
          <w:color w:val="4472C4" w:themeColor="accent1"/>
          <w:sz w:val="24"/>
          <w:lang w:val="it-IT"/>
        </w:rPr>
      </w:pPr>
      <w:r w:rsidRPr="003842A3">
        <w:rPr>
          <w:rFonts w:asciiTheme="majorHAnsi" w:eastAsiaTheme="majorEastAsia" w:hAnsiTheme="majorHAnsi" w:cstheme="majorBidi"/>
          <w:b/>
          <w:bCs/>
          <w:caps/>
          <w:color w:val="4472C4" w:themeColor="accent1"/>
          <w:sz w:val="24"/>
          <w:lang w:val="it-IT"/>
        </w:rPr>
        <w:lastRenderedPageBreak/>
        <w:t>ASSET ALLOCATION: AZIONI IN RIPRESA? O INZIO DELLA FINE?</w:t>
      </w:r>
    </w:p>
    <w:p w14:paraId="685D77CA" w14:textId="77777777" w:rsidR="003842A3" w:rsidRPr="003842A3" w:rsidRDefault="003842A3" w:rsidP="003842A3">
      <w:pPr>
        <w:spacing w:after="120"/>
        <w:rPr>
          <w:rFonts w:ascii="Georgia" w:hAnsi="Georgia"/>
          <w:color w:val="404040"/>
          <w:lang w:val="it-IT"/>
        </w:rPr>
      </w:pPr>
      <w:r w:rsidRPr="003842A3">
        <w:rPr>
          <w:rFonts w:ascii="Georgia" w:hAnsi="Georgia"/>
          <w:color w:val="404040"/>
          <w:lang w:val="it-IT"/>
        </w:rPr>
        <w:t xml:space="preserve">Ottobre è stato un mese molto pesante per le azioni e non troppo leggero nemmeno per le altre </w:t>
      </w:r>
      <w:proofErr w:type="spellStart"/>
      <w:r w:rsidRPr="003842A3">
        <w:rPr>
          <w:rFonts w:ascii="Georgia" w:hAnsi="Georgia"/>
          <w:color w:val="404040"/>
          <w:lang w:val="it-IT"/>
        </w:rPr>
        <w:t>asset</w:t>
      </w:r>
      <w:proofErr w:type="spellEnd"/>
      <w:r w:rsidRPr="003842A3">
        <w:rPr>
          <w:rFonts w:ascii="Georgia" w:hAnsi="Georgia"/>
          <w:color w:val="404040"/>
          <w:lang w:val="it-IT"/>
        </w:rPr>
        <w:t xml:space="preserve"> </w:t>
      </w:r>
      <w:proofErr w:type="spellStart"/>
      <w:r w:rsidRPr="003842A3">
        <w:rPr>
          <w:rFonts w:ascii="Georgia" w:hAnsi="Georgia"/>
          <w:color w:val="404040"/>
          <w:lang w:val="it-IT"/>
        </w:rPr>
        <w:t>class</w:t>
      </w:r>
      <w:proofErr w:type="spellEnd"/>
      <w:r w:rsidRPr="003842A3">
        <w:rPr>
          <w:rFonts w:ascii="Georgia" w:hAnsi="Georgia"/>
          <w:color w:val="404040"/>
          <w:lang w:val="it-IT"/>
        </w:rPr>
        <w:t xml:space="preserve">. Di fatto praticamente tutti i settori e le aree geografiche sono piombate in territorio negativo, senza lasciare scampo ad alcunché. La domanda è quindi d’obbligo dopo questa prima correzione – cui è seguito un rimbalzo dall’inizio del mese di novembre – per cercare di capire se siamo di fronte ad una possibile ripresa o se questa sia stata la prima avvisaglia di un’inversione consistente del lungo up-trend. </w:t>
      </w:r>
    </w:p>
    <w:p w14:paraId="64C95EA4" w14:textId="77777777" w:rsidR="003842A3" w:rsidRPr="003842A3" w:rsidRDefault="003842A3" w:rsidP="003842A3">
      <w:pPr>
        <w:spacing w:after="120"/>
        <w:rPr>
          <w:rFonts w:ascii="Georgia" w:hAnsi="Georgia"/>
          <w:color w:val="404040"/>
          <w:lang w:val="it-IT"/>
        </w:rPr>
      </w:pPr>
      <w:r w:rsidRPr="003842A3">
        <w:rPr>
          <w:rFonts w:ascii="Georgia" w:hAnsi="Georgia"/>
          <w:color w:val="404040"/>
          <w:lang w:val="it-IT"/>
        </w:rPr>
        <w:t>Da un lato, indubbiamente ci sono opportunità per le azioni di recuperare terreno, visto e considerato che stiamo entrando in quella che è una fase stagionale statisticamente favorevole alle azioni. Non di meno, è indubbio che il bull market di cui le azioni hanno goduto per buona parte dell’ultimo decennio aveva già dato qualche segnale di attenzione, ma è altrettanto indubbio che la correzione di ottobre ha forse ecceduto in quanto a “cattiveria”.</w:t>
      </w:r>
    </w:p>
    <w:p w14:paraId="1C40A6C0" w14:textId="77777777" w:rsidR="003842A3" w:rsidRPr="003842A3" w:rsidRDefault="003842A3" w:rsidP="003842A3">
      <w:pPr>
        <w:spacing w:after="120"/>
        <w:rPr>
          <w:rFonts w:ascii="Georgia" w:hAnsi="Georgia"/>
          <w:color w:val="404040"/>
          <w:lang w:val="it-IT"/>
        </w:rPr>
      </w:pPr>
      <w:r w:rsidRPr="003842A3">
        <w:rPr>
          <w:rFonts w:ascii="Georgia" w:hAnsi="Georgia"/>
          <w:color w:val="404040"/>
          <w:lang w:val="it-IT"/>
        </w:rPr>
        <w:t>Inoltre, in base ad alcuni modelli di importanti case di gestione, dopo aver perso quasi il 10% in quattro settimane le azioni globali risulterebbero ora convenienti avendo oggi valutazioni inferiori rispetto alla media storica degli ultimi 20 anni per la prima volta in due anni.</w:t>
      </w:r>
    </w:p>
    <w:p w14:paraId="7749E02C" w14:textId="77777777" w:rsidR="003842A3" w:rsidRPr="003842A3" w:rsidRDefault="003842A3" w:rsidP="003842A3">
      <w:pPr>
        <w:spacing w:after="120"/>
        <w:rPr>
          <w:rFonts w:ascii="Georgia" w:hAnsi="Georgia"/>
          <w:color w:val="404040"/>
          <w:lang w:val="it-IT"/>
        </w:rPr>
      </w:pPr>
      <w:r w:rsidRPr="003842A3">
        <w:rPr>
          <w:rFonts w:ascii="Georgia" w:hAnsi="Georgia"/>
          <w:color w:val="404040"/>
          <w:lang w:val="it-IT"/>
        </w:rPr>
        <w:t>Di contro, alcune dinamiche ci ricordano quanto avvenuto nel 2007, quando dopo una prima correzione si aprì lo spazio per una discesa che portò ad un bear market di circa 2 anni. I fondamentali sono ancora stabili, e infatti gli indicatori del ciclo economico indicano che l’economia globale è in una posizione solida, ma sappiamo che i mercati tendono ad anticipare le evidenze macroeconomiche, per cui riteniamo che sia saggio essere cauti.</w:t>
      </w:r>
    </w:p>
    <w:p w14:paraId="682A02AD" w14:textId="77777777" w:rsidR="003842A3" w:rsidRPr="003842A3" w:rsidRDefault="003842A3" w:rsidP="003842A3">
      <w:pPr>
        <w:spacing w:after="120"/>
        <w:rPr>
          <w:rFonts w:ascii="Georgia" w:hAnsi="Georgia"/>
          <w:color w:val="404040"/>
          <w:lang w:val="it-IT"/>
        </w:rPr>
      </w:pPr>
      <w:r w:rsidRPr="003842A3">
        <w:rPr>
          <w:rFonts w:ascii="Georgia" w:hAnsi="Georgia"/>
          <w:color w:val="404040"/>
          <w:lang w:val="it-IT"/>
        </w:rPr>
        <w:t>Consideriamo che a livello globale la crescita degli utili aziendali ha raggiunto il picco nella prima metà del 2018, anche se per ora rimane solida ad un ritmo annuo stimato intorno al 15%. Tuttavia nel lungo termine ci si attende un aumento delle forze inflattive, il rallentamento della crescita economica e quindi la contrazione degli utili. A questo aggiungiamo i potenziali rischi derivanti dalle mai sopite dispute commerciali tra Stati Uniti e Cina; molti analisti ritengono che i mercati abbiano già scontato buona parte della negatività, lasciando l’opportunità di sviluppi a sorpresa come un nuovo accordo commerciale Stati Uniti-Cina in occasione della riunione del G20 di Buenos Aires a fine novembre.</w:t>
      </w:r>
    </w:p>
    <w:p w14:paraId="2EB58914" w14:textId="77777777" w:rsidR="003842A3" w:rsidRPr="003842A3" w:rsidRDefault="003842A3" w:rsidP="003842A3">
      <w:pPr>
        <w:spacing w:after="120"/>
        <w:rPr>
          <w:rFonts w:ascii="Georgia" w:hAnsi="Georgia"/>
          <w:color w:val="404040"/>
          <w:lang w:val="it-IT"/>
        </w:rPr>
      </w:pPr>
      <w:r w:rsidRPr="003842A3">
        <w:rPr>
          <w:rFonts w:ascii="Georgia" w:hAnsi="Georgia"/>
          <w:color w:val="404040"/>
          <w:lang w:val="it-IT"/>
        </w:rPr>
        <w:t>L’impatto del risultato delle elezioni USA di metà mandato è ancora tutto da valutare e al momento si leggono e si sentono decine di ipotesi che, a nostro modo di vedere, lasciano il tempo che trovano. Per tentare di capire i potenziali sviluppi sarà importante vedere nella pratica come la perdita del controllo della Camera inciderà sugli spazi di manovre di Trump.</w:t>
      </w:r>
    </w:p>
    <w:p w14:paraId="73D9D50F" w14:textId="0558A321" w:rsidR="005C712F" w:rsidRDefault="003842A3" w:rsidP="003842A3">
      <w:pPr>
        <w:spacing w:after="120"/>
        <w:rPr>
          <w:rFonts w:ascii="Georgia" w:hAnsi="Georgia"/>
          <w:color w:val="404040"/>
          <w:lang w:val="it-IT"/>
        </w:rPr>
      </w:pPr>
      <w:r w:rsidRPr="003842A3">
        <w:rPr>
          <w:rFonts w:ascii="Georgia" w:hAnsi="Georgia"/>
          <w:color w:val="404040"/>
          <w:lang w:val="it-IT"/>
        </w:rPr>
        <w:t>Infine, a livello di politiche monetarie e Banche Centrali, la Cina emerge come l’unica tra le principali Banche Centrali che stia attivamente attuando una politica di allentamento monetario, che può essere considerato un elemento positivo per i mercati emergenti.</w:t>
      </w:r>
    </w:p>
    <w:p w14:paraId="3476DAD1" w14:textId="77777777" w:rsidR="003842A3" w:rsidRDefault="003842A3" w:rsidP="003842A3">
      <w:pPr>
        <w:spacing w:after="120"/>
        <w:rPr>
          <w:rFonts w:asciiTheme="majorHAnsi" w:eastAsiaTheme="majorEastAsia" w:hAnsiTheme="majorHAnsi" w:cstheme="majorBidi"/>
          <w:b/>
          <w:bCs/>
          <w:caps/>
          <w:color w:val="4472C4" w:themeColor="accent1"/>
          <w:sz w:val="24"/>
          <w:lang w:val="it-IT"/>
        </w:rPr>
      </w:pPr>
    </w:p>
    <w:p w14:paraId="5B483736" w14:textId="3A429D77" w:rsidR="00F64364" w:rsidRPr="006C682F" w:rsidRDefault="00F64364" w:rsidP="00F64364">
      <w:pPr>
        <w:spacing w:after="120"/>
        <w:rPr>
          <w:rFonts w:asciiTheme="majorHAnsi" w:eastAsiaTheme="majorEastAsia" w:hAnsiTheme="majorHAnsi" w:cstheme="majorBidi"/>
          <w:b/>
          <w:bCs/>
          <w:caps/>
          <w:color w:val="4472C4" w:themeColor="accent1"/>
          <w:sz w:val="24"/>
          <w:lang w:val="it-IT"/>
        </w:rPr>
      </w:pPr>
      <w:r w:rsidRPr="00FA7117">
        <w:rPr>
          <w:rFonts w:asciiTheme="majorHAnsi" w:eastAsiaTheme="majorEastAsia" w:hAnsiTheme="majorHAnsi" w:cstheme="majorBidi"/>
          <w:b/>
          <w:bCs/>
          <w:caps/>
          <w:color w:val="4472C4" w:themeColor="accent1"/>
          <w:sz w:val="24"/>
          <w:lang w:val="it-IT"/>
        </w:rPr>
        <w:t xml:space="preserve">AREE GEOGRAFICHE: </w:t>
      </w:r>
      <w:r w:rsidR="003842A3">
        <w:rPr>
          <w:rFonts w:asciiTheme="majorHAnsi" w:eastAsiaTheme="majorEastAsia" w:hAnsiTheme="majorHAnsi" w:cstheme="majorBidi"/>
          <w:b/>
          <w:bCs/>
          <w:caps/>
          <w:color w:val="4472C4" w:themeColor="accent1"/>
          <w:sz w:val="24"/>
          <w:lang w:val="it-IT"/>
        </w:rPr>
        <w:t>CICLICI ED EMERGENTI I FAVORITI?</w:t>
      </w:r>
    </w:p>
    <w:p w14:paraId="44D8AE44" w14:textId="77777777" w:rsidR="003842A3" w:rsidRPr="003842A3" w:rsidRDefault="003842A3" w:rsidP="003842A3">
      <w:pPr>
        <w:spacing w:after="0"/>
        <w:jc w:val="both"/>
        <w:rPr>
          <w:rFonts w:ascii="Georgia" w:hAnsi="Georgia"/>
          <w:color w:val="404040"/>
          <w:lang w:val="it-IT"/>
        </w:rPr>
      </w:pPr>
      <w:r w:rsidRPr="003842A3">
        <w:rPr>
          <w:rFonts w:ascii="Georgia" w:hAnsi="Georgia"/>
          <w:color w:val="404040"/>
          <w:lang w:val="it-IT"/>
        </w:rPr>
        <w:t>Se volessimo ritenere più probabile una ripresa dei mercati da qui a fine anno, pur considerando tutte le controindicazioni di cui sopra abbiamo detto, quali settori o mercati potrebbero fare meglio? Domanda alla quale non è ovviamente facile (impossibile?) rispondere, perché lo vediamo sempre dopo com’è andata nella realtà, ma qualche ragionamento possiamo farlo.</w:t>
      </w:r>
    </w:p>
    <w:p w14:paraId="47A24350" w14:textId="77777777" w:rsidR="003842A3" w:rsidRPr="003842A3" w:rsidRDefault="003842A3" w:rsidP="003842A3">
      <w:pPr>
        <w:spacing w:after="0"/>
        <w:jc w:val="both"/>
        <w:rPr>
          <w:rFonts w:ascii="Georgia" w:hAnsi="Georgia"/>
          <w:color w:val="404040"/>
          <w:lang w:val="it-IT"/>
        </w:rPr>
      </w:pPr>
      <w:r w:rsidRPr="003842A3">
        <w:rPr>
          <w:rFonts w:ascii="Georgia" w:hAnsi="Georgia"/>
          <w:color w:val="404040"/>
          <w:lang w:val="it-IT"/>
        </w:rPr>
        <w:t>Dicevamo poco sopra come la furia al ribasso di ottobre ha portato una brusca ridefinizione dei prezzi azionari – MSCI World ha perso il 10% in quattro settimane, la flessione mensile peggiore dal 2012 – portando le valutazioni azionarie (in termini fondamentali) ad un livello inferiore alla media degli ultimi tre decenni per la prima volta in due anni. Inoltre possiamo in parte confidare con la stagionalità favorevole, data “l'abitudine” delle azioni di guadagnare terreno verso fine anno.</w:t>
      </w:r>
    </w:p>
    <w:p w14:paraId="36FD4162" w14:textId="77777777" w:rsidR="003842A3" w:rsidRPr="003842A3" w:rsidRDefault="003842A3" w:rsidP="003842A3">
      <w:pPr>
        <w:spacing w:after="0"/>
        <w:jc w:val="both"/>
        <w:rPr>
          <w:rFonts w:ascii="Georgia" w:hAnsi="Georgia"/>
          <w:color w:val="404040"/>
          <w:lang w:val="it-IT"/>
        </w:rPr>
      </w:pPr>
      <w:r w:rsidRPr="003842A3">
        <w:rPr>
          <w:rFonts w:ascii="Georgia" w:hAnsi="Georgia"/>
          <w:color w:val="404040"/>
          <w:lang w:val="it-IT"/>
        </w:rPr>
        <w:t xml:space="preserve">Mettendo insieme varie analisi, pare che i titoli ciclici e i titoli dei mercati emergenti potrebbero beneficiare molto di questo rimbalzo nel breve termine. I titoli più penalizzati nei mesi scorsi sono stati quelli ciclici globali. Hanno </w:t>
      </w:r>
      <w:proofErr w:type="spellStart"/>
      <w:r w:rsidRPr="003842A3">
        <w:rPr>
          <w:rFonts w:ascii="Georgia" w:hAnsi="Georgia"/>
          <w:color w:val="404040"/>
          <w:lang w:val="it-IT"/>
        </w:rPr>
        <w:t>sottoperformato</w:t>
      </w:r>
      <w:proofErr w:type="spellEnd"/>
      <w:r w:rsidRPr="003842A3">
        <w:rPr>
          <w:rFonts w:ascii="Georgia" w:hAnsi="Georgia"/>
          <w:color w:val="404040"/>
          <w:lang w:val="it-IT"/>
        </w:rPr>
        <w:t xml:space="preserve"> il mercato di circa il 12% dal picco di inizio giugno e risultano adesso i più </w:t>
      </w:r>
      <w:proofErr w:type="spellStart"/>
      <w:r w:rsidRPr="003842A3">
        <w:rPr>
          <w:rFonts w:ascii="Georgia" w:hAnsi="Georgia"/>
          <w:color w:val="404040"/>
          <w:lang w:val="it-IT"/>
        </w:rPr>
        <w:t>ipervenduti</w:t>
      </w:r>
      <w:proofErr w:type="spellEnd"/>
      <w:r w:rsidRPr="003842A3">
        <w:rPr>
          <w:rFonts w:ascii="Georgia" w:hAnsi="Georgia"/>
          <w:color w:val="404040"/>
          <w:lang w:val="it-IT"/>
        </w:rPr>
        <w:t xml:space="preserve"> da sette anni a questa parte. I mercati emergenti potrebbero offrire un valore interessante dopo aver subito per buona parte dell’anno le preoccupazioni legate alle guerre commerciali e al rallentamento in Cina. A maggior ragione se consideriamo che ogni </w:t>
      </w:r>
      <w:r w:rsidRPr="003842A3">
        <w:rPr>
          <w:rFonts w:ascii="Georgia" w:hAnsi="Georgia"/>
          <w:color w:val="404040"/>
          <w:lang w:val="it-IT"/>
        </w:rPr>
        <w:lastRenderedPageBreak/>
        <w:t>eventuale segno di riavvicinamento tra USA e Cina sui dazi – ricordiamo l’importante appuntamento del G20 di fine novembre – potrebbe portare un buon ritorno delle azioni dei mercati emergenti.</w:t>
      </w:r>
    </w:p>
    <w:p w14:paraId="05F74991" w14:textId="2CC226F7" w:rsidR="00F64364" w:rsidRDefault="003842A3" w:rsidP="003842A3">
      <w:pPr>
        <w:spacing w:after="0"/>
        <w:jc w:val="both"/>
        <w:rPr>
          <w:rFonts w:ascii="Georgia" w:hAnsi="Georgia"/>
          <w:color w:val="404040"/>
          <w:lang w:val="it-IT"/>
        </w:rPr>
      </w:pPr>
      <w:r w:rsidRPr="003842A3">
        <w:rPr>
          <w:rFonts w:ascii="Georgia" w:hAnsi="Georgia"/>
          <w:color w:val="404040"/>
          <w:lang w:val="it-IT"/>
        </w:rPr>
        <w:t xml:space="preserve">A livello di settori, infine, i titoli industriali a seguito delle recenti vendite massicce hanno ora le valutazioni ai minimi degli ultimi sei anni su base relativa; male il comparto IT che anche in base al nostro </w:t>
      </w:r>
      <w:proofErr w:type="spellStart"/>
      <w:r w:rsidRPr="003842A3">
        <w:rPr>
          <w:rFonts w:ascii="Georgia" w:hAnsi="Georgia"/>
          <w:color w:val="404040"/>
          <w:lang w:val="it-IT"/>
        </w:rPr>
        <w:t>Trendycartor</w:t>
      </w:r>
      <w:proofErr w:type="spellEnd"/>
      <w:r w:rsidRPr="003842A3">
        <w:rPr>
          <w:rFonts w:ascii="Georgia" w:hAnsi="Georgia"/>
          <w:color w:val="404040"/>
          <w:lang w:val="it-IT"/>
        </w:rPr>
        <w:t xml:space="preserve"> (vedi sezione “Barometro”) è in sofferenza, così come risulta molto pesante il settore auto.</w:t>
      </w:r>
    </w:p>
    <w:p w14:paraId="2F5DADD2" w14:textId="77777777" w:rsidR="003842A3" w:rsidRDefault="003842A3" w:rsidP="00F64364">
      <w:pPr>
        <w:spacing w:after="120"/>
        <w:rPr>
          <w:rFonts w:asciiTheme="majorHAnsi" w:eastAsiaTheme="majorEastAsia" w:hAnsiTheme="majorHAnsi" w:cstheme="majorBidi"/>
          <w:b/>
          <w:bCs/>
          <w:caps/>
          <w:color w:val="4472C4" w:themeColor="accent1"/>
          <w:sz w:val="24"/>
          <w:lang w:val="it-IT"/>
        </w:rPr>
      </w:pPr>
    </w:p>
    <w:p w14:paraId="7ACDF16D" w14:textId="2DEE5C1D" w:rsidR="00F64364" w:rsidRDefault="00F64364" w:rsidP="00F64364">
      <w:pPr>
        <w:spacing w:after="120"/>
        <w:rPr>
          <w:rFonts w:asciiTheme="majorHAnsi" w:eastAsiaTheme="majorEastAsia" w:hAnsiTheme="majorHAnsi" w:cstheme="majorBidi"/>
          <w:b/>
          <w:bCs/>
          <w:caps/>
          <w:color w:val="4472C4" w:themeColor="accent1"/>
          <w:sz w:val="24"/>
          <w:lang w:val="it-IT"/>
        </w:rPr>
      </w:pPr>
      <w:r w:rsidRPr="006A4198">
        <w:rPr>
          <w:rFonts w:asciiTheme="majorHAnsi" w:eastAsiaTheme="majorEastAsia" w:hAnsiTheme="majorHAnsi" w:cstheme="majorBidi"/>
          <w:b/>
          <w:bCs/>
          <w:caps/>
          <w:color w:val="4472C4" w:themeColor="accent1"/>
          <w:sz w:val="24"/>
          <w:lang w:val="it-IT"/>
        </w:rPr>
        <w:t xml:space="preserve">Obbligazionario: </w:t>
      </w:r>
      <w:r w:rsidR="00452B15">
        <w:rPr>
          <w:rFonts w:asciiTheme="majorHAnsi" w:eastAsiaTheme="majorEastAsia" w:hAnsiTheme="majorHAnsi" w:cstheme="majorBidi"/>
          <w:b/>
          <w:bCs/>
          <w:caps/>
          <w:color w:val="4472C4" w:themeColor="accent1"/>
          <w:sz w:val="24"/>
          <w:lang w:val="it-IT"/>
        </w:rPr>
        <w:t xml:space="preserve">RENDIMENTI </w:t>
      </w:r>
      <w:r w:rsidR="003842A3">
        <w:rPr>
          <w:rFonts w:asciiTheme="majorHAnsi" w:eastAsiaTheme="majorEastAsia" w:hAnsiTheme="majorHAnsi" w:cstheme="majorBidi"/>
          <w:b/>
          <w:bCs/>
          <w:caps/>
          <w:color w:val="4472C4" w:themeColor="accent1"/>
          <w:sz w:val="24"/>
          <w:lang w:val="it-IT"/>
        </w:rPr>
        <w:t>STABILI</w:t>
      </w:r>
    </w:p>
    <w:p w14:paraId="4B992A42" w14:textId="7557C55F" w:rsidR="00117329" w:rsidRPr="00117329" w:rsidRDefault="00117329" w:rsidP="00117329">
      <w:pPr>
        <w:spacing w:after="120"/>
        <w:jc w:val="both"/>
        <w:rPr>
          <w:rFonts w:ascii="Georgia" w:hAnsi="Georgia"/>
          <w:color w:val="404040"/>
          <w:lang w:val="it-IT"/>
        </w:rPr>
      </w:pPr>
      <w:r>
        <w:rPr>
          <w:rFonts w:ascii="Georgia" w:hAnsi="Georgia"/>
          <w:noProof/>
          <w:color w:val="404040"/>
          <w:lang w:val="it-IT" w:eastAsia="it-IT"/>
        </w:rPr>
        <w:drawing>
          <wp:anchor distT="0" distB="0" distL="114300" distR="114300" simplePos="0" relativeHeight="251664400" behindDoc="0" locked="0" layoutInCell="1" allowOverlap="1" wp14:anchorId="58618FAE" wp14:editId="511150E9">
            <wp:simplePos x="0" y="0"/>
            <wp:positionH relativeFrom="column">
              <wp:posOffset>1875155</wp:posOffset>
            </wp:positionH>
            <wp:positionV relativeFrom="paragraph">
              <wp:posOffset>2202180</wp:posOffset>
            </wp:positionV>
            <wp:extent cx="4993005" cy="28956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005" cy="2895600"/>
                    </a:xfrm>
                    <a:prstGeom prst="rect">
                      <a:avLst/>
                    </a:prstGeom>
                    <a:noFill/>
                  </pic:spPr>
                </pic:pic>
              </a:graphicData>
            </a:graphic>
            <wp14:sizeRelH relativeFrom="page">
              <wp14:pctWidth>0</wp14:pctWidth>
            </wp14:sizeRelH>
            <wp14:sizeRelV relativeFrom="page">
              <wp14:pctHeight>0</wp14:pctHeight>
            </wp14:sizeRelV>
          </wp:anchor>
        </w:drawing>
      </w:r>
      <w:r w:rsidRPr="00117329">
        <w:rPr>
          <w:rFonts w:ascii="Georgia" w:hAnsi="Georgia"/>
          <w:color w:val="404040"/>
          <w:lang w:val="it-IT"/>
        </w:rPr>
        <w:t xml:space="preserve">Queste ultime settimane sono state piuttosto incolori per il mercato obbligazionario nel suo complesso, con nessun evento veramente degno di nota e con la vicenda della diatriba tra Italia e UE sempre in primo piano ma con contorni ormai via via più sfumati. La volatilità si è ridotta, come se i mercati si fossero ormai assuefatti a questa guerra di parole e dichiarazioni a distanza, senza che nella pratica succeda davvero qualcosa. E’ il gioco delle parti, tutta </w:t>
      </w:r>
      <w:proofErr w:type="spellStart"/>
      <w:r w:rsidRPr="00117329">
        <w:rPr>
          <w:rFonts w:ascii="Georgia" w:hAnsi="Georgia"/>
          <w:color w:val="404040"/>
          <w:lang w:val="it-IT"/>
        </w:rPr>
        <w:t>fuffa</w:t>
      </w:r>
      <w:proofErr w:type="spellEnd"/>
      <w:r w:rsidRPr="00117329">
        <w:rPr>
          <w:rFonts w:ascii="Georgia" w:hAnsi="Georgia"/>
          <w:color w:val="404040"/>
          <w:lang w:val="it-IT"/>
        </w:rPr>
        <w:t xml:space="preserve"> politica e nessuna sostanza mesa in atto solo per misurare l’avversario, la sua forza, i suoi punti deboli, le sue convenienze e le sue sconvenienze. Come da programma l’Italia ha rimandato al mittente le richieste di modifica della legge di bilancio e ora la palla torna a Bruxelles, per un altro giro di carte bollate. I mercati l’hanno presa meglio di quanto forse si potesse immaginare, giusto un minimo di pressione al ribasso ma senza grande cattiveria. Leggendo qua e là si ha la netta impressione che i mercati (in realtà qualche “</w:t>
      </w:r>
      <w:proofErr w:type="spellStart"/>
      <w:r w:rsidRPr="00117329">
        <w:rPr>
          <w:rFonts w:ascii="Georgia" w:hAnsi="Georgia"/>
          <w:color w:val="404040"/>
          <w:lang w:val="it-IT"/>
        </w:rPr>
        <w:t>strategist</w:t>
      </w:r>
      <w:proofErr w:type="spellEnd"/>
      <w:r w:rsidRPr="00117329">
        <w:rPr>
          <w:rFonts w:ascii="Georgia" w:hAnsi="Georgia"/>
          <w:color w:val="404040"/>
          <w:lang w:val="it-IT"/>
        </w:rPr>
        <w:t xml:space="preserve">” lo ha proprio dichiarato) siano convinti che alla fine un accordo si troverà e quindi salvo movimenti di breve termine un po’ umorali non vi sono sostanziali mutamenti. L’idea che un accordo sia trovato non è peregrina: a ben riflettere sia l’Italia sia l’Europa ha tutto da rimettere e nulla da guadagnare da un muro contro muro ad oltranza. Noi dal canto nostro rischiamo di trovarci con la Troika in casa a cui però probabilmente farebbe seguito uno strappo violento e una presa di posizione anti-euro che ci potrebbe portare fuori dalla UE in via unilaterale. Questo sarebbe ovviamente un disastro epocale sia per noi che finiamo a gambe all’aria sia per l’UE che sarebbe inesorabilmente trascinata negli inferi dal nostro default. Ecco perché è molto ragionevole ipotizzare che si troverà un accordo – che ovviamente non accontenterà nessuno – perché a ben guardare pare il male minore. Staremo a vedere. </w:t>
      </w:r>
    </w:p>
    <w:p w14:paraId="18563FE0" w14:textId="77777777" w:rsidR="00117329" w:rsidRDefault="00117329" w:rsidP="00117329">
      <w:pPr>
        <w:spacing w:after="120"/>
        <w:jc w:val="both"/>
        <w:rPr>
          <w:rFonts w:ascii="Georgia" w:hAnsi="Georgia"/>
          <w:color w:val="404040"/>
          <w:lang w:val="it-IT"/>
        </w:rPr>
      </w:pPr>
      <w:r w:rsidRPr="00117329">
        <w:rPr>
          <w:rFonts w:ascii="Georgia" w:hAnsi="Georgia"/>
          <w:color w:val="404040"/>
          <w:lang w:val="it-IT"/>
        </w:rPr>
        <w:t>Torniamo alle nostre analisi, con la nostra consueta lettura del mercato obbligazionario attraverso la ZC-</w:t>
      </w:r>
      <w:proofErr w:type="spellStart"/>
      <w:r w:rsidRPr="00117329">
        <w:rPr>
          <w:rFonts w:ascii="Georgia" w:hAnsi="Georgia"/>
          <w:color w:val="404040"/>
          <w:lang w:val="it-IT"/>
        </w:rPr>
        <w:t>Yield</w:t>
      </w:r>
      <w:proofErr w:type="spellEnd"/>
      <w:r w:rsidRPr="00117329">
        <w:rPr>
          <w:rFonts w:ascii="Georgia" w:hAnsi="Georgia"/>
          <w:color w:val="404040"/>
          <w:lang w:val="it-IT"/>
        </w:rPr>
        <w:t xml:space="preserve"> Curve, che ci mostra questa settimana rendimenti impliciti di fatto stabili rispetto alla scorsa rilevazione, con il tratto a lunga sopra area 1,50% per le scadenze sempre a partire dal 2037 per arrivare sopra area 1,55% sempre per le scadenze dal 2040; sulla scadenza a 10 anni siamo impercettibilmente scesi in area 0,98%. Stabili anche i </w:t>
      </w:r>
      <w:proofErr w:type="spellStart"/>
      <w:r w:rsidRPr="00117329">
        <w:rPr>
          <w:rFonts w:ascii="Georgia" w:hAnsi="Georgia"/>
          <w:color w:val="404040"/>
          <w:lang w:val="it-IT"/>
        </w:rPr>
        <w:t>forward</w:t>
      </w:r>
      <w:proofErr w:type="spellEnd"/>
      <w:r w:rsidRPr="00117329">
        <w:rPr>
          <w:rFonts w:ascii="Georgia" w:hAnsi="Georgia"/>
          <w:color w:val="404040"/>
          <w:lang w:val="it-IT"/>
        </w:rPr>
        <w:t xml:space="preserve"> su </w:t>
      </w:r>
      <w:proofErr w:type="spellStart"/>
      <w:r w:rsidRPr="00117329">
        <w:rPr>
          <w:rFonts w:ascii="Georgia" w:hAnsi="Georgia"/>
          <w:color w:val="404040"/>
          <w:lang w:val="it-IT"/>
        </w:rPr>
        <w:t>Euribor</w:t>
      </w:r>
      <w:proofErr w:type="spellEnd"/>
      <w:r w:rsidRPr="00117329">
        <w:rPr>
          <w:rFonts w:ascii="Georgia" w:hAnsi="Georgia"/>
          <w:color w:val="404040"/>
          <w:lang w:val="it-IT"/>
        </w:rPr>
        <w:t xml:space="preserve"> 6 mesi, dove sul tratto a lunga si mantengono poco sotto area 2,10%.</w:t>
      </w:r>
    </w:p>
    <w:p w14:paraId="249ECD3A" w14:textId="1D2B7687" w:rsidR="00117329" w:rsidRDefault="00117329" w:rsidP="00117329">
      <w:pPr>
        <w:spacing w:after="120"/>
        <w:jc w:val="both"/>
        <w:rPr>
          <w:rFonts w:ascii="Georgia" w:hAnsi="Georgia"/>
          <w:color w:val="404040"/>
          <w:lang w:val="it-IT"/>
        </w:rPr>
      </w:pPr>
    </w:p>
    <w:p w14:paraId="7B33FE83" w14:textId="77777777" w:rsidR="00117329" w:rsidRDefault="00117329" w:rsidP="00117329">
      <w:pPr>
        <w:spacing w:after="120"/>
        <w:jc w:val="both"/>
        <w:rPr>
          <w:rFonts w:ascii="Georgia" w:hAnsi="Georgia"/>
          <w:color w:val="404040"/>
          <w:lang w:val="it-IT"/>
        </w:rPr>
      </w:pPr>
    </w:p>
    <w:p w14:paraId="5E860ADE" w14:textId="276EE852" w:rsidR="00F64364" w:rsidRDefault="00117329" w:rsidP="00F64364">
      <w:pPr>
        <w:autoSpaceDE w:val="0"/>
        <w:autoSpaceDN w:val="0"/>
        <w:adjustRightInd w:val="0"/>
        <w:spacing w:after="0"/>
        <w:jc w:val="both"/>
        <w:rPr>
          <w:lang w:val="it-IT"/>
        </w:rPr>
      </w:pPr>
      <w:r>
        <w:rPr>
          <w:rFonts w:ascii="Georgia" w:hAnsi="Georgia"/>
          <w:noProof/>
          <w:color w:val="404040"/>
          <w:lang w:val="it-IT" w:eastAsia="it-IT"/>
        </w:rPr>
        <w:lastRenderedPageBreak/>
        <w:drawing>
          <wp:anchor distT="0" distB="0" distL="114300" distR="114300" simplePos="0" relativeHeight="251665424" behindDoc="0" locked="0" layoutInCell="1" allowOverlap="1" wp14:anchorId="11443675" wp14:editId="40565D6D">
            <wp:simplePos x="0" y="0"/>
            <wp:positionH relativeFrom="column">
              <wp:posOffset>2540</wp:posOffset>
            </wp:positionH>
            <wp:positionV relativeFrom="paragraph">
              <wp:posOffset>29845</wp:posOffset>
            </wp:positionV>
            <wp:extent cx="4822190" cy="2304415"/>
            <wp:effectExtent l="0" t="0" r="0" b="63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190" cy="2304415"/>
                    </a:xfrm>
                    <a:prstGeom prst="rect">
                      <a:avLst/>
                    </a:prstGeom>
                    <a:noFill/>
                  </pic:spPr>
                </pic:pic>
              </a:graphicData>
            </a:graphic>
            <wp14:sizeRelH relativeFrom="page">
              <wp14:pctWidth>0</wp14:pctWidth>
            </wp14:sizeRelH>
            <wp14:sizeRelV relativeFrom="page">
              <wp14:pctHeight>0</wp14:pctHeight>
            </wp14:sizeRelV>
          </wp:anchor>
        </w:drawing>
      </w:r>
      <w:r w:rsidR="00841306" w:rsidRPr="00841306">
        <w:rPr>
          <w:lang w:val="it-IT"/>
        </w:rPr>
        <w:t xml:space="preserve">Naturalmente movimentati gli spread, vista l’aria che tira in Europa, anche se i rendimenti dei benchmark decennali (a parte l’Italia…) non si sono poi mossi più di tanto. Il decennale tedesco si conferma oltre area 0,50% di rendimento (0,51% attuale contro 0,54% della scorsa rilevazione), la Francia va allo 0,87% e l’Irlanda si porta a 1,06%. Per ciò che concerne i periferici, il nostro Btp vola al 3,59% di rendimento, il Portogallo va a 1,98% e la Spagna va all’1,64%. A livello di spread Vs </w:t>
      </w:r>
      <w:proofErr w:type="spellStart"/>
      <w:r w:rsidR="00841306" w:rsidRPr="00841306">
        <w:rPr>
          <w:lang w:val="it-IT"/>
        </w:rPr>
        <w:t>Bund</w:t>
      </w:r>
      <w:proofErr w:type="spellEnd"/>
      <w:r w:rsidR="00841306" w:rsidRPr="00841306">
        <w:rPr>
          <w:lang w:val="it-IT"/>
        </w:rPr>
        <w:t>, riprende l’altalena dell’Italia e quindi abbiamo Portogallo, Spagna e Italia rispettivamente a 146 bps, 112 bps e 307 bps.</w:t>
      </w:r>
    </w:p>
    <w:p w14:paraId="7928F92C" w14:textId="77777777" w:rsidR="00841306" w:rsidRDefault="00841306" w:rsidP="00F64364">
      <w:pPr>
        <w:autoSpaceDE w:val="0"/>
        <w:autoSpaceDN w:val="0"/>
        <w:adjustRightInd w:val="0"/>
        <w:spacing w:after="0"/>
        <w:jc w:val="both"/>
        <w:rPr>
          <w:lang w:val="it-IT"/>
        </w:rPr>
      </w:pPr>
    </w:p>
    <w:p w14:paraId="33EC08D8" w14:textId="5413EE54" w:rsidR="00841306" w:rsidRDefault="00117329" w:rsidP="00F64364">
      <w:pPr>
        <w:autoSpaceDE w:val="0"/>
        <w:autoSpaceDN w:val="0"/>
        <w:adjustRightInd w:val="0"/>
        <w:spacing w:after="0"/>
        <w:jc w:val="both"/>
        <w:rPr>
          <w:lang w:val="it-IT"/>
        </w:rPr>
      </w:pPr>
      <w:r w:rsidRPr="00117329">
        <w:rPr>
          <w:lang w:val="it-IT"/>
        </w:rPr>
        <w:t xml:space="preserve">Osservando – a livello di analisi integrata – le curve dei rendimenti dei benchmark decennali dei principali troviamo tutto immutato a livello di impostazione di medio termine. </w:t>
      </w:r>
      <w:proofErr w:type="spellStart"/>
      <w:r w:rsidRPr="00117329">
        <w:rPr>
          <w:lang w:val="it-IT"/>
        </w:rPr>
        <w:t>Trendycator</w:t>
      </w:r>
      <w:proofErr w:type="spellEnd"/>
      <w:r w:rsidRPr="00117329">
        <w:rPr>
          <w:lang w:val="it-IT"/>
        </w:rPr>
        <w:t xml:space="preserve"> si conferma LONG sull’area UK e si mantiene NEUTRAL sull’area BUND. L’area UK, tra alti e bassi, rimane comunque in area 1,50% di rendimento, mentre il decennale tedesco rimane inchiodato in area 0,40%. Sempre impiccato sulla parte alta il rendimento del nostro Btp che riesce comunque a portarsi di un soffio sotto area 3,50% e con </w:t>
      </w:r>
      <w:proofErr w:type="spellStart"/>
      <w:r w:rsidRPr="00117329">
        <w:rPr>
          <w:lang w:val="it-IT"/>
        </w:rPr>
        <w:t>Trendycator</w:t>
      </w:r>
      <w:proofErr w:type="spellEnd"/>
      <w:r w:rsidRPr="00117329">
        <w:rPr>
          <w:lang w:val="it-IT"/>
        </w:rPr>
        <w:t xml:space="preserve"> sempre LONG (verde). Sempre noiosamente laterale l’area USA che si muove nel soporifero </w:t>
      </w:r>
      <w:proofErr w:type="spellStart"/>
      <w:r w:rsidRPr="00117329">
        <w:rPr>
          <w:lang w:val="it-IT"/>
        </w:rPr>
        <w:t>range</w:t>
      </w:r>
      <w:proofErr w:type="spellEnd"/>
      <w:r w:rsidRPr="00117329">
        <w:rPr>
          <w:lang w:val="it-IT"/>
        </w:rPr>
        <w:t xml:space="preserve"> tra area 3,00% e 3,20% di rendimento con </w:t>
      </w:r>
      <w:proofErr w:type="spellStart"/>
      <w:r w:rsidRPr="00117329">
        <w:rPr>
          <w:lang w:val="it-IT"/>
        </w:rPr>
        <w:t>Trendycator</w:t>
      </w:r>
      <w:proofErr w:type="spellEnd"/>
      <w:r w:rsidRPr="00117329">
        <w:rPr>
          <w:lang w:val="it-IT"/>
        </w:rPr>
        <w:t xml:space="preserve"> confermato in configurazione LONG.</w:t>
      </w:r>
    </w:p>
    <w:p w14:paraId="09D4DA62" w14:textId="77777777" w:rsidR="00117329" w:rsidRDefault="00117329" w:rsidP="00F64364">
      <w:pPr>
        <w:autoSpaceDE w:val="0"/>
        <w:autoSpaceDN w:val="0"/>
        <w:adjustRightInd w:val="0"/>
        <w:spacing w:after="0"/>
        <w:jc w:val="both"/>
        <w:rPr>
          <w:lang w:val="it-IT"/>
        </w:rPr>
      </w:pPr>
    </w:p>
    <w:p w14:paraId="45CAA736" w14:textId="6D3EA752" w:rsidR="00117329" w:rsidRDefault="00117329" w:rsidP="00F64364">
      <w:pPr>
        <w:autoSpaceDE w:val="0"/>
        <w:autoSpaceDN w:val="0"/>
        <w:adjustRightInd w:val="0"/>
        <w:spacing w:after="0"/>
        <w:jc w:val="both"/>
        <w:rPr>
          <w:lang w:val="it-IT"/>
        </w:rPr>
      </w:pPr>
      <w:r>
        <w:rPr>
          <w:noProof/>
          <w:lang w:val="it-IT" w:eastAsia="it-IT"/>
        </w:rPr>
        <w:drawing>
          <wp:inline distT="0" distB="0" distL="0" distR="0" wp14:anchorId="17A5E7E2" wp14:editId="52BD7C94">
            <wp:extent cx="6827978" cy="360639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31038" cy="3608010"/>
                    </a:xfrm>
                    <a:prstGeom prst="rect">
                      <a:avLst/>
                    </a:prstGeom>
                  </pic:spPr>
                </pic:pic>
              </a:graphicData>
            </a:graphic>
          </wp:inline>
        </w:drawing>
      </w:r>
    </w:p>
    <w:p w14:paraId="575BE25B" w14:textId="6FF48909" w:rsidR="00F64364" w:rsidRDefault="00F64364" w:rsidP="00F64364">
      <w:pPr>
        <w:autoSpaceDE w:val="0"/>
        <w:autoSpaceDN w:val="0"/>
        <w:adjustRightInd w:val="0"/>
        <w:spacing w:after="0"/>
        <w:jc w:val="both"/>
        <w:rPr>
          <w:lang w:val="it-IT"/>
        </w:rPr>
      </w:pPr>
    </w:p>
    <w:p w14:paraId="7B0792A0" w14:textId="77777777" w:rsidR="00F64364" w:rsidRDefault="00F64364" w:rsidP="00F64364">
      <w:pPr>
        <w:autoSpaceDE w:val="0"/>
        <w:autoSpaceDN w:val="0"/>
        <w:adjustRightInd w:val="0"/>
        <w:spacing w:after="0"/>
        <w:jc w:val="both"/>
        <w:rPr>
          <w:rFonts w:ascii="Georgia" w:hAnsi="Georgia"/>
          <w:color w:val="404040"/>
          <w:lang w:val="it-IT"/>
        </w:rPr>
      </w:pPr>
    </w:p>
    <w:p w14:paraId="31AF5F10" w14:textId="77777777" w:rsidR="00F64364" w:rsidRDefault="00F64364" w:rsidP="0019149B">
      <w:pPr>
        <w:pStyle w:val="Titolo"/>
        <w:rPr>
          <w:lang w:val="it-IT"/>
        </w:rPr>
      </w:pPr>
    </w:p>
    <w:p w14:paraId="009B4E9E" w14:textId="77777777" w:rsidR="008A7EA0" w:rsidRPr="00D51ECE" w:rsidRDefault="008A7EA0" w:rsidP="0019149B">
      <w:pPr>
        <w:pStyle w:val="Titolo"/>
        <w:rPr>
          <w:lang w:val="it-IT"/>
        </w:rPr>
      </w:pPr>
      <w:bookmarkStart w:id="0" w:name="_GoBack"/>
      <w:bookmarkEnd w:id="0"/>
      <w:r w:rsidRPr="00D51ECE">
        <w:rPr>
          <w:lang w:val="it-IT"/>
        </w:rPr>
        <w:lastRenderedPageBreak/>
        <w:t>BAROMETRO</w:t>
      </w:r>
    </w:p>
    <w:p w14:paraId="009B4E9F" w14:textId="77777777" w:rsidR="00AD4EB0" w:rsidRDefault="00AD4EB0" w:rsidP="00AD4EB0">
      <w:pPr>
        <w:pStyle w:val="Titolo"/>
        <w:rPr>
          <w:rFonts w:ascii="Century Gothic" w:hAnsi="Century Gothic"/>
          <w:sz w:val="18"/>
          <w:szCs w:val="18"/>
          <w:lang w:val="it-IT"/>
        </w:rPr>
      </w:pPr>
      <w:r w:rsidRPr="00724D3B">
        <w:rPr>
          <w:rFonts w:ascii="Century Gothic" w:hAnsi="Century Gothic"/>
          <w:noProof/>
          <w:sz w:val="18"/>
          <w:szCs w:val="18"/>
          <w:lang w:val="it-IT" w:eastAsia="it-IT"/>
        </w:rPr>
        <mc:AlternateContent>
          <mc:Choice Requires="wps">
            <w:drawing>
              <wp:anchor distT="45720" distB="45720" distL="114300" distR="114300" simplePos="0" relativeHeight="251658243" behindDoc="0" locked="0" layoutInCell="1" allowOverlap="1" wp14:anchorId="009B4F2D" wp14:editId="0D9C65B2">
                <wp:simplePos x="0" y="0"/>
                <wp:positionH relativeFrom="margin">
                  <wp:posOffset>4110825</wp:posOffset>
                </wp:positionH>
                <wp:positionV relativeFrom="paragraph">
                  <wp:posOffset>399884</wp:posOffset>
                </wp:positionV>
                <wp:extent cx="2722880" cy="2273935"/>
                <wp:effectExtent l="0" t="0" r="127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273935"/>
                        </a:xfrm>
                        <a:prstGeom prst="rect">
                          <a:avLst/>
                        </a:prstGeom>
                        <a:solidFill>
                          <a:schemeClr val="accent1"/>
                        </a:solidFill>
                        <a:ln w="9525">
                          <a:noFill/>
                          <a:miter lim="800000"/>
                          <a:headEnd/>
                          <a:tailEnd/>
                        </a:ln>
                      </wps:spPr>
                      <wps:txbx>
                        <w:txbxContent>
                          <w:p w14:paraId="009B4F87" w14:textId="77777777" w:rsidR="00F108CF" w:rsidRPr="003920D4" w:rsidRDefault="00F108CF" w:rsidP="00AD4EB0">
                            <w:pPr>
                              <w:rPr>
                                <w:color w:val="FFFFFF" w:themeColor="background1"/>
                                <w:sz w:val="24"/>
                                <w:szCs w:val="24"/>
                                <w:lang w:val="it-IT"/>
                              </w:rPr>
                            </w:pPr>
                            <w:r w:rsidRPr="003920D4">
                              <w:rPr>
                                <w:color w:val="FFFFFF" w:themeColor="background1"/>
                                <w:sz w:val="24"/>
                                <w:szCs w:val="24"/>
                                <w:lang w:val="it-IT"/>
                              </w:rPr>
                              <w:t>L’indice di Forza del nostro modello è dato dall’analisi combinata delle sequenze temporali giornaliero-settimanale-mensile, le quali generano un indice che ha una escursione da -6 a +6 secondo la legenda a fianco.</w:t>
                            </w:r>
                            <w:r>
                              <w:rPr>
                                <w:color w:val="FFFFFF" w:themeColor="background1"/>
                                <w:sz w:val="24"/>
                                <w:szCs w:val="24"/>
                                <w:lang w:val="it-IT"/>
                              </w:rPr>
                              <w:t xml:space="preserve"> </w:t>
                            </w:r>
                            <w:r w:rsidRPr="003920D4">
                              <w:rPr>
                                <w:color w:val="FFFFFF" w:themeColor="background1"/>
                                <w:sz w:val="24"/>
                                <w:szCs w:val="24"/>
                                <w:lang w:val="it-IT"/>
                              </w:rPr>
                              <w:t>Da esso vengono estrapolate le indicazioni operative di Sottopesare, Neutrale o Sovrappesare.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B4F2D" id="Casella di testo 2" o:spid="_x0000_s1027" type="#_x0000_t202" style="position:absolute;margin-left:323.7pt;margin-top:31.5pt;width:214.4pt;height:179.0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" fillcolor="#4472c4 [3204]" stroked="f">
                <v:textbox>
                  <w:txbxContent>
                    <w:p w14:paraId="009B4F87" w14:textId="77777777" w:rsidR="00F108CF" w:rsidRPr="003920D4" w:rsidRDefault="00F108CF" w:rsidP="00AD4EB0">
                      <w:pPr>
                        <w:rPr>
                          <w:color w:val="FFFFFF" w:themeColor="background1"/>
                          <w:sz w:val="24"/>
                          <w:szCs w:val="24"/>
                          <w:lang w:val="it-IT"/>
                        </w:rPr>
                      </w:pPr>
                      <w:r w:rsidRPr="003920D4">
                        <w:rPr>
                          <w:color w:val="FFFFFF" w:themeColor="background1"/>
                          <w:sz w:val="24"/>
                          <w:szCs w:val="24"/>
                          <w:lang w:val="it-IT"/>
                        </w:rPr>
                        <w:t>L’indice di Forza del nostro modello è dato dall’analisi combinata delle sequenze temporali giornaliero-settimanale-mensile, le quali generano un indice che ha una escursione da -6 a +6 secondo la legenda a fianco.</w:t>
                      </w:r>
                      <w:r>
                        <w:rPr>
                          <w:color w:val="FFFFFF" w:themeColor="background1"/>
                          <w:sz w:val="24"/>
                          <w:szCs w:val="24"/>
                          <w:lang w:val="it-IT"/>
                        </w:rPr>
                        <w:t xml:space="preserve"> </w:t>
                      </w:r>
                      <w:r w:rsidRPr="003920D4">
                        <w:rPr>
                          <w:color w:val="FFFFFF" w:themeColor="background1"/>
                          <w:sz w:val="24"/>
                          <w:szCs w:val="24"/>
                          <w:lang w:val="it-IT"/>
                        </w:rPr>
                        <w:t>Da esso vengono estrapolate le indicazioni operative di Sottopesare, Neutrale o Sovrappesare.</w:t>
                      </w:r>
                    </w:p>
                  </w:txbxContent>
                </v:textbox>
                <w10:wrap type="square" anchorx="margin"/>
              </v:shape>
            </w:pict>
          </mc:Fallback>
        </mc:AlternateContent>
      </w:r>
    </w:p>
    <w:p w14:paraId="009B4EA0" w14:textId="77777777" w:rsidR="00AD4EB0" w:rsidRDefault="00AD4EB0" w:rsidP="00AD4EB0">
      <w:pPr>
        <w:pStyle w:val="Titolo"/>
        <w:rPr>
          <w:rFonts w:ascii="Century Gothic" w:hAnsi="Century Gothic"/>
          <w:sz w:val="18"/>
          <w:szCs w:val="18"/>
          <w:lang w:val="it-IT"/>
        </w:rPr>
      </w:pPr>
    </w:p>
    <w:p w14:paraId="009B4EA1" w14:textId="77777777" w:rsidR="00AD4EB0" w:rsidRDefault="00AD4EB0" w:rsidP="00AD4EB0">
      <w:pPr>
        <w:pStyle w:val="Titolo"/>
        <w:rPr>
          <w:rFonts w:ascii="Century Gothic" w:hAnsi="Century Gothic"/>
          <w:sz w:val="18"/>
          <w:szCs w:val="18"/>
          <w:lang w:val="it-IT"/>
        </w:rPr>
      </w:pPr>
    </w:p>
    <w:p w14:paraId="009B4EA2" w14:textId="6656CFBF" w:rsidR="008A7EA0" w:rsidRDefault="008A7EA0" w:rsidP="00AD4EB0">
      <w:pPr>
        <w:pStyle w:val="Titolo"/>
        <w:rPr>
          <w:rFonts w:ascii="Century Gothic" w:hAnsi="Century Gothic"/>
          <w:sz w:val="18"/>
          <w:szCs w:val="18"/>
          <w:lang w:val="it-IT"/>
        </w:rPr>
      </w:pPr>
      <w:r w:rsidRPr="008A7EA0">
        <w:rPr>
          <w:rFonts w:ascii="Century Gothic" w:hAnsi="Century Gothic"/>
          <w:sz w:val="18"/>
          <w:szCs w:val="18"/>
          <w:lang w:val="it-IT"/>
        </w:rPr>
        <w:t>(LEGENDA INDICE DI FORZA)</w:t>
      </w:r>
    </w:p>
    <w:p w14:paraId="009B4EA3" w14:textId="77777777" w:rsidR="00AD4EB0" w:rsidRPr="008A7EA0" w:rsidRDefault="00AD4EB0" w:rsidP="00AD4EB0">
      <w:pPr>
        <w:pStyle w:val="Titolo"/>
        <w:rPr>
          <w:rFonts w:ascii="Century Gothic" w:hAnsi="Century Gothic"/>
          <w:b w:val="0"/>
          <w:sz w:val="18"/>
          <w:szCs w:val="18"/>
          <w:lang w:val="it-IT"/>
        </w:rPr>
      </w:pPr>
    </w:p>
    <w:p w14:paraId="009B4EA4" w14:textId="52F9FC88" w:rsidR="008A7EA0" w:rsidRPr="00AD4EB0" w:rsidRDefault="008A7EA0" w:rsidP="008A7EA0">
      <w:pPr>
        <w:spacing w:after="0" w:line="240" w:lineRule="auto"/>
        <w:jc w:val="both"/>
        <w:rPr>
          <w:rFonts w:ascii="Century Gothic" w:hAnsi="Century Gothic"/>
          <w:sz w:val="18"/>
          <w:szCs w:val="18"/>
          <w:lang w:val="it-IT"/>
        </w:rPr>
      </w:pPr>
      <w:r>
        <w:rPr>
          <w:noProof/>
          <w:lang w:val="it-IT" w:eastAsia="it-IT"/>
        </w:rPr>
        <w:drawing>
          <wp:inline distT="0" distB="0" distL="0" distR="0" wp14:anchorId="009B4F2F" wp14:editId="43F606E0">
            <wp:extent cx="1560454" cy="2019718"/>
            <wp:effectExtent l="0" t="0" r="190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6792" cy="2027922"/>
                    </a:xfrm>
                    <a:prstGeom prst="rect">
                      <a:avLst/>
                    </a:prstGeom>
                  </pic:spPr>
                </pic:pic>
              </a:graphicData>
            </a:graphic>
          </wp:inline>
        </w:drawing>
      </w:r>
      <w:r w:rsidR="0057360E" w:rsidRPr="00AD4EB0">
        <w:rPr>
          <w:rFonts w:ascii="Century Gothic" w:hAnsi="Century Gothic"/>
          <w:sz w:val="18"/>
          <w:szCs w:val="18"/>
          <w:lang w:val="it-IT"/>
        </w:rPr>
        <w:t xml:space="preserve"> </w:t>
      </w:r>
      <w:r w:rsidR="006D4894">
        <w:rPr>
          <w:noProof/>
          <w:lang w:val="it-IT" w:eastAsia="it-IT"/>
        </w:rPr>
        <w:drawing>
          <wp:inline distT="0" distB="0" distL="0" distR="0" wp14:anchorId="5B59DB2D" wp14:editId="50729578">
            <wp:extent cx="1870645" cy="12202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6277" cy="1269591"/>
                    </a:xfrm>
                    <a:prstGeom prst="rect">
                      <a:avLst/>
                    </a:prstGeom>
                  </pic:spPr>
                </pic:pic>
              </a:graphicData>
            </a:graphic>
          </wp:inline>
        </w:drawing>
      </w:r>
    </w:p>
    <w:p w14:paraId="009B4EA5" w14:textId="1A3DA818" w:rsidR="008A7EA0" w:rsidRDefault="008A7EA0" w:rsidP="008A7EA0">
      <w:pPr>
        <w:spacing w:after="0" w:line="240" w:lineRule="auto"/>
        <w:jc w:val="both"/>
        <w:rPr>
          <w:rFonts w:ascii="Century Gothic" w:hAnsi="Century Gothic"/>
          <w:sz w:val="18"/>
          <w:szCs w:val="18"/>
          <w:lang w:val="it-IT"/>
        </w:rPr>
      </w:pPr>
    </w:p>
    <w:p w14:paraId="4FF262B6" w14:textId="77777777" w:rsidR="00B118A1" w:rsidRDefault="00B118A1" w:rsidP="008A7EA0">
      <w:pPr>
        <w:spacing w:after="0" w:line="240" w:lineRule="auto"/>
        <w:jc w:val="both"/>
        <w:rPr>
          <w:rFonts w:ascii="Century Gothic" w:hAnsi="Century Gothic"/>
          <w:sz w:val="18"/>
          <w:szCs w:val="18"/>
          <w:lang w:val="it-IT"/>
        </w:rPr>
      </w:pPr>
    </w:p>
    <w:p w14:paraId="4A6663EE" w14:textId="6B6B668E" w:rsidR="004B3345" w:rsidRPr="00991AA6" w:rsidRDefault="004B3345" w:rsidP="00B118A1">
      <w:pPr>
        <w:spacing w:after="0" w:line="240" w:lineRule="auto"/>
        <w:jc w:val="center"/>
        <w:rPr>
          <w:rFonts w:ascii="Century Gothic" w:hAnsi="Century Gothic"/>
          <w:b/>
          <w:sz w:val="28"/>
          <w:szCs w:val="28"/>
          <w:lang w:val="it-IT"/>
        </w:rPr>
      </w:pPr>
      <w:r w:rsidRPr="00991AA6">
        <w:rPr>
          <w:rFonts w:ascii="Century Gothic" w:hAnsi="Century Gothic"/>
          <w:b/>
          <w:sz w:val="28"/>
          <w:szCs w:val="28"/>
          <w:lang w:val="it-IT"/>
        </w:rPr>
        <w:t xml:space="preserve">NOTA METODOLOGICA: Da questo numero </w:t>
      </w:r>
      <w:r w:rsidR="00B118A1" w:rsidRPr="00991AA6">
        <w:rPr>
          <w:rFonts w:ascii="Century Gothic" w:hAnsi="Century Gothic"/>
          <w:b/>
          <w:sz w:val="28"/>
          <w:szCs w:val="28"/>
          <w:lang w:val="it-IT"/>
        </w:rPr>
        <w:t>le indicazioni vengono elaborate con Trendycator</w:t>
      </w:r>
      <w:r w:rsidR="000229FF">
        <w:rPr>
          <w:rFonts w:ascii="Century Gothic" w:hAnsi="Century Gothic"/>
          <w:b/>
          <w:sz w:val="28"/>
          <w:szCs w:val="28"/>
          <w:lang w:val="it-IT"/>
        </w:rPr>
        <w:t xml:space="preserve"> 2.0</w:t>
      </w:r>
      <w:r w:rsidR="00B118A1" w:rsidRPr="00991AA6">
        <w:rPr>
          <w:rFonts w:ascii="Century Gothic" w:hAnsi="Century Gothic"/>
          <w:b/>
          <w:sz w:val="28"/>
          <w:szCs w:val="28"/>
          <w:lang w:val="it-IT"/>
        </w:rPr>
        <w:t>. Seguirà un articolo.</w:t>
      </w:r>
    </w:p>
    <w:p w14:paraId="0A59FEF1" w14:textId="77777777" w:rsidR="00B118A1" w:rsidRPr="00AD4EB0" w:rsidRDefault="00B118A1" w:rsidP="008A7EA0">
      <w:pPr>
        <w:spacing w:after="0" w:line="240" w:lineRule="auto"/>
        <w:jc w:val="both"/>
        <w:rPr>
          <w:rFonts w:ascii="Century Gothic" w:hAnsi="Century Gothic"/>
          <w:sz w:val="18"/>
          <w:szCs w:val="18"/>
          <w:lang w:val="it-IT"/>
        </w:rPr>
      </w:pPr>
    </w:p>
    <w:p w14:paraId="009B4EA6" w14:textId="27706BC8" w:rsidR="008A7EA0" w:rsidRDefault="00595160" w:rsidP="008A7EA0">
      <w:pPr>
        <w:rPr>
          <w:lang w:val="it-IT"/>
        </w:rPr>
      </w:pPr>
      <w:r>
        <w:rPr>
          <w:noProof/>
          <w:lang w:val="it-IT" w:eastAsia="it-IT"/>
        </w:rPr>
        <w:drawing>
          <wp:inline distT="0" distB="0" distL="0" distR="0" wp14:anchorId="1EE395DA" wp14:editId="786DF858">
            <wp:extent cx="6858000" cy="49618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961890"/>
                    </a:xfrm>
                    <a:prstGeom prst="rect">
                      <a:avLst/>
                    </a:prstGeom>
                  </pic:spPr>
                </pic:pic>
              </a:graphicData>
            </a:graphic>
          </wp:inline>
        </w:drawing>
      </w:r>
    </w:p>
    <w:p w14:paraId="009B4EA7" w14:textId="717DFB6A" w:rsidR="008A7EA0" w:rsidRDefault="008A7EA0" w:rsidP="008A7EA0">
      <w:pPr>
        <w:rPr>
          <w:noProof/>
          <w:lang w:val="it-IT" w:eastAsia="it-IT"/>
        </w:rPr>
      </w:pPr>
    </w:p>
    <w:p w14:paraId="09230CC5" w14:textId="24674A42" w:rsidR="001206B7" w:rsidRDefault="000551A1" w:rsidP="008A7EA0">
      <w:pPr>
        <w:rPr>
          <w:lang w:val="it-IT"/>
        </w:rPr>
      </w:pPr>
      <w:r>
        <w:rPr>
          <w:noProof/>
          <w:lang w:val="it-IT" w:eastAsia="it-IT"/>
        </w:rPr>
        <w:drawing>
          <wp:inline distT="0" distB="0" distL="0" distR="0" wp14:anchorId="29987B67" wp14:editId="638301FE">
            <wp:extent cx="6858000" cy="649922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6499225"/>
                    </a:xfrm>
                    <a:prstGeom prst="rect">
                      <a:avLst/>
                    </a:prstGeom>
                  </pic:spPr>
                </pic:pic>
              </a:graphicData>
            </a:graphic>
          </wp:inline>
        </w:drawing>
      </w:r>
    </w:p>
    <w:p w14:paraId="009B4EA8" w14:textId="77777777" w:rsidR="008A7EA0" w:rsidRDefault="008A7EA0" w:rsidP="008A7EA0">
      <w:pPr>
        <w:rPr>
          <w:lang w:val="it-IT"/>
        </w:rPr>
      </w:pPr>
    </w:p>
    <w:p w14:paraId="009B4EA9" w14:textId="77777777" w:rsidR="008A7EA0" w:rsidRDefault="008A7EA0" w:rsidP="008A7EA0">
      <w:pPr>
        <w:rPr>
          <w:lang w:val="it-IT"/>
        </w:rPr>
      </w:pPr>
    </w:p>
    <w:p w14:paraId="009B4EAA" w14:textId="77777777" w:rsidR="007D273E" w:rsidRDefault="007D273E" w:rsidP="008A7EA0">
      <w:pPr>
        <w:rPr>
          <w:lang w:val="it-IT"/>
        </w:rPr>
      </w:pPr>
    </w:p>
    <w:p w14:paraId="009B4EAB" w14:textId="77777777" w:rsidR="007D273E" w:rsidRDefault="007D273E" w:rsidP="008A7EA0">
      <w:pPr>
        <w:rPr>
          <w:lang w:val="it-IT"/>
        </w:rPr>
      </w:pPr>
    </w:p>
    <w:p w14:paraId="009B4EAC" w14:textId="77777777" w:rsidR="007D273E" w:rsidRDefault="007D273E" w:rsidP="008A7EA0">
      <w:pPr>
        <w:rPr>
          <w:lang w:val="it-IT"/>
        </w:rPr>
      </w:pPr>
    </w:p>
    <w:p w14:paraId="009B4EAD" w14:textId="77777777" w:rsidR="007D273E" w:rsidRDefault="007D273E" w:rsidP="008A7EA0">
      <w:pPr>
        <w:rPr>
          <w:lang w:val="it-IT"/>
        </w:rPr>
      </w:pPr>
    </w:p>
    <w:p w14:paraId="009B4EAE" w14:textId="77777777" w:rsidR="007D273E" w:rsidRDefault="007D273E" w:rsidP="008A7EA0">
      <w:pPr>
        <w:rPr>
          <w:lang w:val="it-IT"/>
        </w:rPr>
      </w:pPr>
    </w:p>
    <w:p w14:paraId="009B4EAF" w14:textId="77777777" w:rsidR="007D273E" w:rsidRDefault="007D273E" w:rsidP="008A7EA0">
      <w:pPr>
        <w:rPr>
          <w:lang w:val="it-IT"/>
        </w:rPr>
      </w:pPr>
    </w:p>
    <w:p w14:paraId="009B4EB0" w14:textId="08086D20" w:rsidR="007D273E" w:rsidRDefault="008C6518" w:rsidP="008A7EA0">
      <w:pPr>
        <w:rPr>
          <w:lang w:val="it-IT"/>
        </w:rPr>
      </w:pPr>
      <w:r>
        <w:rPr>
          <w:noProof/>
          <w:lang w:val="it-IT" w:eastAsia="it-IT"/>
        </w:rPr>
        <w:drawing>
          <wp:inline distT="0" distB="0" distL="0" distR="0" wp14:anchorId="464F0A2A" wp14:editId="08FCF74B">
            <wp:extent cx="6858000" cy="2544445"/>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544445"/>
                    </a:xfrm>
                    <a:prstGeom prst="rect">
                      <a:avLst/>
                    </a:prstGeom>
                  </pic:spPr>
                </pic:pic>
              </a:graphicData>
            </a:graphic>
          </wp:inline>
        </w:drawing>
      </w:r>
    </w:p>
    <w:p w14:paraId="009B4EB1" w14:textId="77777777" w:rsidR="008A7EA0" w:rsidRDefault="008A7EA0" w:rsidP="008A7EA0">
      <w:pPr>
        <w:rPr>
          <w:lang w:val="it-IT"/>
        </w:rPr>
      </w:pPr>
    </w:p>
    <w:p w14:paraId="009B4EB2" w14:textId="77777777" w:rsidR="008A7EA0" w:rsidRPr="008A7EA0" w:rsidRDefault="008A7EA0" w:rsidP="008A7EA0">
      <w:pPr>
        <w:rPr>
          <w:lang w:val="it-IT"/>
        </w:rPr>
      </w:pPr>
    </w:p>
    <w:p w14:paraId="009B4EB3" w14:textId="77777777" w:rsidR="008A7EA0" w:rsidRPr="008A7EA0" w:rsidRDefault="008A7EA0" w:rsidP="008A7EA0">
      <w:pPr>
        <w:pStyle w:val="Titolo3"/>
        <w:jc w:val="both"/>
        <w:rPr>
          <w:rFonts w:ascii="Georgia" w:hAnsi="Georgia"/>
          <w:b w:val="0"/>
          <w:bCs w:val="0"/>
          <w:color w:val="404040"/>
          <w:lang w:val="it-IT"/>
        </w:rPr>
      </w:pPr>
    </w:p>
    <w:p w14:paraId="009B4EB4" w14:textId="77777777" w:rsidR="008A7EA0" w:rsidRDefault="008A7EA0" w:rsidP="008A7EA0">
      <w:pPr>
        <w:jc w:val="center"/>
        <w:rPr>
          <w:lang w:val="it-IT"/>
        </w:rPr>
      </w:pPr>
    </w:p>
    <w:p w14:paraId="009B4EB5" w14:textId="05891018" w:rsidR="008A7EA0" w:rsidRDefault="008A7EA0" w:rsidP="008A7EA0">
      <w:pPr>
        <w:jc w:val="center"/>
        <w:rPr>
          <w:lang w:val="it-IT"/>
        </w:rPr>
      </w:pPr>
    </w:p>
    <w:p w14:paraId="763B2209" w14:textId="69D24864" w:rsidR="003222E1" w:rsidRDefault="003222E1" w:rsidP="008A7EA0">
      <w:pPr>
        <w:jc w:val="center"/>
        <w:rPr>
          <w:lang w:val="it-IT"/>
        </w:rPr>
      </w:pPr>
    </w:p>
    <w:p w14:paraId="43301073" w14:textId="25F3E9BD" w:rsidR="003222E1" w:rsidRDefault="003222E1" w:rsidP="008A7EA0">
      <w:pPr>
        <w:jc w:val="center"/>
        <w:rPr>
          <w:lang w:val="it-IT"/>
        </w:rPr>
      </w:pPr>
    </w:p>
    <w:p w14:paraId="195AC8F6" w14:textId="4ADC3BEA" w:rsidR="003222E1" w:rsidRDefault="003222E1" w:rsidP="008A7EA0">
      <w:pPr>
        <w:jc w:val="center"/>
        <w:rPr>
          <w:lang w:val="it-IT"/>
        </w:rPr>
      </w:pPr>
    </w:p>
    <w:p w14:paraId="7DF362D6" w14:textId="7D239BFB" w:rsidR="003222E1" w:rsidRDefault="003222E1" w:rsidP="008A7EA0">
      <w:pPr>
        <w:jc w:val="center"/>
        <w:rPr>
          <w:lang w:val="it-IT"/>
        </w:rPr>
      </w:pPr>
    </w:p>
    <w:p w14:paraId="5A23F048" w14:textId="2FC5DCFD" w:rsidR="003222E1" w:rsidRDefault="003222E1" w:rsidP="008A7EA0">
      <w:pPr>
        <w:jc w:val="center"/>
        <w:rPr>
          <w:lang w:val="it-IT"/>
        </w:rPr>
      </w:pPr>
    </w:p>
    <w:p w14:paraId="54BB9FCA" w14:textId="3CEDE5F8" w:rsidR="003222E1" w:rsidRDefault="003222E1" w:rsidP="008A7EA0">
      <w:pPr>
        <w:jc w:val="center"/>
        <w:rPr>
          <w:lang w:val="it-IT"/>
        </w:rPr>
      </w:pPr>
    </w:p>
    <w:p w14:paraId="0D9C2FEA" w14:textId="3BE6EF29" w:rsidR="003222E1" w:rsidRDefault="003222E1" w:rsidP="008A7EA0">
      <w:pPr>
        <w:jc w:val="center"/>
        <w:rPr>
          <w:lang w:val="it-IT"/>
        </w:rPr>
      </w:pPr>
    </w:p>
    <w:p w14:paraId="2571D8DB" w14:textId="1B98FEAF" w:rsidR="003222E1" w:rsidRDefault="003222E1" w:rsidP="008A7EA0">
      <w:pPr>
        <w:jc w:val="center"/>
        <w:rPr>
          <w:lang w:val="it-IT"/>
        </w:rPr>
      </w:pPr>
    </w:p>
    <w:p w14:paraId="576F5118" w14:textId="6486F788" w:rsidR="003222E1" w:rsidRDefault="003222E1" w:rsidP="008A7EA0">
      <w:pPr>
        <w:jc w:val="center"/>
        <w:rPr>
          <w:lang w:val="it-IT"/>
        </w:rPr>
      </w:pPr>
    </w:p>
    <w:p w14:paraId="28D3193D" w14:textId="457C042A" w:rsidR="003222E1" w:rsidRDefault="003222E1" w:rsidP="008A7EA0">
      <w:pPr>
        <w:jc w:val="center"/>
        <w:rPr>
          <w:lang w:val="it-IT"/>
        </w:rPr>
      </w:pPr>
    </w:p>
    <w:p w14:paraId="41B89247" w14:textId="60D09185" w:rsidR="003222E1" w:rsidRDefault="003222E1" w:rsidP="008A7EA0">
      <w:pPr>
        <w:jc w:val="center"/>
        <w:rPr>
          <w:lang w:val="it-IT"/>
        </w:rPr>
      </w:pPr>
    </w:p>
    <w:p w14:paraId="3C6B9274" w14:textId="77777777" w:rsidR="003222E1" w:rsidRDefault="003222E1" w:rsidP="008A7EA0">
      <w:pPr>
        <w:jc w:val="center"/>
        <w:rPr>
          <w:lang w:val="it-IT"/>
        </w:rPr>
      </w:pPr>
    </w:p>
    <w:p w14:paraId="009B4EB6" w14:textId="77777777" w:rsidR="007D273E" w:rsidRDefault="007D273E" w:rsidP="008A7EA0">
      <w:pPr>
        <w:jc w:val="center"/>
        <w:rPr>
          <w:lang w:val="it-IT"/>
        </w:rPr>
      </w:pPr>
    </w:p>
    <w:p w14:paraId="009B4EB7" w14:textId="77777777" w:rsidR="007D273E" w:rsidRDefault="007D273E" w:rsidP="008A7EA0">
      <w:pPr>
        <w:jc w:val="center"/>
        <w:rPr>
          <w:lang w:val="it-IT"/>
        </w:rPr>
      </w:pPr>
    </w:p>
    <w:p w14:paraId="009B4EB8" w14:textId="77777777" w:rsidR="008A7EA0" w:rsidRDefault="008A7EA0" w:rsidP="008A7EA0">
      <w:pPr>
        <w:jc w:val="center"/>
        <w:rPr>
          <w:lang w:val="it-IT"/>
        </w:rPr>
      </w:pPr>
    </w:p>
    <w:p w14:paraId="009B4EB9" w14:textId="77777777" w:rsidR="009F325D" w:rsidRPr="00032E65" w:rsidRDefault="009F325D" w:rsidP="0019149B">
      <w:pPr>
        <w:pStyle w:val="Titolo"/>
        <w:rPr>
          <w:lang w:val="it-IT"/>
        </w:rPr>
      </w:pPr>
      <w:r w:rsidRPr="00032E65">
        <w:rPr>
          <w:lang w:val="it-IT"/>
        </w:rPr>
        <w:lastRenderedPageBreak/>
        <w:t>ANALISI MERCATI</w:t>
      </w:r>
    </w:p>
    <w:p w14:paraId="009B4EBA" w14:textId="77777777" w:rsidR="009F325D" w:rsidRPr="00032E65" w:rsidRDefault="009F325D" w:rsidP="009F325D">
      <w:pPr>
        <w:spacing w:after="0" w:line="240" w:lineRule="auto"/>
        <w:rPr>
          <w:rFonts w:ascii="Century Gothic" w:hAnsi="Century Gothic"/>
          <w:sz w:val="18"/>
          <w:szCs w:val="18"/>
          <w:lang w:val="it-IT"/>
        </w:rPr>
      </w:pPr>
    </w:p>
    <w:p w14:paraId="3B5CE19B" w14:textId="77C82867" w:rsidR="00352A7B" w:rsidRDefault="00352A7B" w:rsidP="00352A7B">
      <w:pPr>
        <w:spacing w:after="0" w:line="240" w:lineRule="auto"/>
        <w:jc w:val="center"/>
        <w:rPr>
          <w:rFonts w:ascii="Century Gothic" w:hAnsi="Century Gothic"/>
          <w:sz w:val="18"/>
          <w:szCs w:val="18"/>
        </w:rPr>
      </w:pPr>
    </w:p>
    <w:p w14:paraId="7547D4D1" w14:textId="03E39C76" w:rsidR="00352A7B" w:rsidRDefault="00A130D5" w:rsidP="00352A7B">
      <w:pPr>
        <w:spacing w:after="0" w:line="240" w:lineRule="auto"/>
        <w:jc w:val="center"/>
        <w:rPr>
          <w:noProof/>
        </w:rPr>
      </w:pPr>
      <w:r>
        <w:rPr>
          <w:noProof/>
          <w:lang w:val="it-IT" w:eastAsia="it-IT"/>
        </w:rPr>
        <w:drawing>
          <wp:inline distT="0" distB="0" distL="0" distR="0" wp14:anchorId="4DF61E4D" wp14:editId="72D91D85">
            <wp:extent cx="6858000" cy="3190240"/>
            <wp:effectExtent l="38100" t="38100" r="38100" b="292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4AE9B887" w14:textId="77777777" w:rsidR="001F5464" w:rsidRDefault="001F5464" w:rsidP="00352A7B">
      <w:pPr>
        <w:spacing w:after="0" w:line="240" w:lineRule="auto"/>
        <w:jc w:val="center"/>
        <w:rPr>
          <w:noProof/>
        </w:rPr>
      </w:pPr>
    </w:p>
    <w:p w14:paraId="740C8C5E" w14:textId="6100351F" w:rsidR="001F5464" w:rsidRDefault="001F5464" w:rsidP="001F5464">
      <w:pPr>
        <w:rPr>
          <w:lang w:val="it-IT"/>
        </w:rPr>
      </w:pPr>
      <w:r>
        <w:rPr>
          <w:b/>
          <w:lang w:val="it-IT"/>
        </w:rPr>
        <w:t>VIX</w:t>
      </w:r>
      <w:r w:rsidRPr="00711C25">
        <w:rPr>
          <w:b/>
          <w:lang w:val="it-IT"/>
        </w:rPr>
        <w:t>:</w:t>
      </w:r>
      <w:r w:rsidRPr="00981C90">
        <w:rPr>
          <w:lang w:val="it-IT"/>
        </w:rPr>
        <w:t xml:space="preserve"> </w:t>
      </w:r>
      <w:r w:rsidR="002F3A17">
        <w:rPr>
          <w:lang w:val="it-IT"/>
        </w:rPr>
        <w:t xml:space="preserve">in VIX si mantiene sugli stessi livelli ormai da mesi denotando una volatilità </w:t>
      </w:r>
      <w:r w:rsidR="00A8594B">
        <w:rPr>
          <w:lang w:val="it-IT"/>
        </w:rPr>
        <w:t>in aumento sui mercati</w:t>
      </w:r>
      <w:r w:rsidR="00030B2E">
        <w:rPr>
          <w:lang w:val="it-IT"/>
        </w:rPr>
        <w:t>.</w:t>
      </w:r>
    </w:p>
    <w:p w14:paraId="1F22E49F" w14:textId="455FC3FA" w:rsidR="002841A6" w:rsidRDefault="00341E51" w:rsidP="001F5464">
      <w:pPr>
        <w:rPr>
          <w:lang w:val="it-IT"/>
        </w:rPr>
      </w:pPr>
      <w:r>
        <w:rPr>
          <w:noProof/>
          <w:lang w:val="it-IT" w:eastAsia="it-IT"/>
        </w:rPr>
        <w:drawing>
          <wp:inline distT="0" distB="0" distL="0" distR="0" wp14:anchorId="05EE21BE" wp14:editId="10603859">
            <wp:extent cx="6858000" cy="3190240"/>
            <wp:effectExtent l="38100" t="38100" r="38100" b="292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4DA768AF" w14:textId="6C707A7E" w:rsidR="002841A6" w:rsidRDefault="002841A6" w:rsidP="002841A6">
      <w:pPr>
        <w:rPr>
          <w:lang w:val="it-IT"/>
        </w:rPr>
      </w:pPr>
      <w:r>
        <w:rPr>
          <w:b/>
          <w:lang w:val="it-IT"/>
        </w:rPr>
        <w:t>VSTOXX</w:t>
      </w:r>
      <w:r w:rsidRPr="00711C25">
        <w:rPr>
          <w:b/>
          <w:lang w:val="it-IT"/>
        </w:rPr>
        <w:t>:</w:t>
      </w:r>
      <w:r w:rsidRPr="00981C90">
        <w:rPr>
          <w:lang w:val="it-IT"/>
        </w:rPr>
        <w:t xml:space="preserve"> </w:t>
      </w:r>
      <w:r w:rsidR="00341E51">
        <w:rPr>
          <w:lang w:val="it-IT"/>
        </w:rPr>
        <w:t xml:space="preserve">notiamo per il secondo mese consecutivo che il </w:t>
      </w:r>
      <w:proofErr w:type="spellStart"/>
      <w:r w:rsidR="00341E51">
        <w:rPr>
          <w:lang w:val="it-IT"/>
        </w:rPr>
        <w:t>vstoxx</w:t>
      </w:r>
      <w:proofErr w:type="spellEnd"/>
      <w:r w:rsidR="00341E51">
        <w:rPr>
          <w:lang w:val="it-IT"/>
        </w:rPr>
        <w:t xml:space="preserve"> europeo è salito meno rispetto a</w:t>
      </w:r>
      <w:r w:rsidR="003404B3">
        <w:rPr>
          <w:lang w:val="it-IT"/>
        </w:rPr>
        <w:t xml:space="preserve"> quello americano</w:t>
      </w:r>
      <w:r w:rsidR="00AA2D6B">
        <w:rPr>
          <w:lang w:val="it-IT"/>
        </w:rPr>
        <w:t>.</w:t>
      </w:r>
    </w:p>
    <w:p w14:paraId="0EF67558" w14:textId="77777777" w:rsidR="002841A6" w:rsidRDefault="002841A6" w:rsidP="001F5464">
      <w:pPr>
        <w:rPr>
          <w:lang w:val="it-IT"/>
        </w:rPr>
      </w:pPr>
    </w:p>
    <w:p w14:paraId="009B4EC6" w14:textId="441EE5E6" w:rsidR="009F325D" w:rsidRPr="00EA5521" w:rsidRDefault="00EF31B6" w:rsidP="009F325D">
      <w:pPr>
        <w:spacing w:after="0" w:line="240" w:lineRule="auto"/>
        <w:jc w:val="center"/>
        <w:rPr>
          <w:noProof/>
        </w:rPr>
      </w:pPr>
      <w:r w:rsidRPr="001F5464">
        <w:rPr>
          <w:noProof/>
          <w:lang w:val="it-IT"/>
        </w:rPr>
        <w:lastRenderedPageBreak/>
        <w:t xml:space="preserve"> </w:t>
      </w:r>
      <w:r w:rsidR="00EA5521">
        <w:rPr>
          <w:noProof/>
          <w:lang w:val="it-IT" w:eastAsia="it-IT"/>
        </w:rPr>
        <w:drawing>
          <wp:inline distT="0" distB="0" distL="0" distR="0" wp14:anchorId="706682FE" wp14:editId="2B2EF50A">
            <wp:extent cx="6858000" cy="3190240"/>
            <wp:effectExtent l="0" t="0" r="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190240"/>
                    </a:xfrm>
                    <a:prstGeom prst="rect">
                      <a:avLst/>
                    </a:prstGeom>
                  </pic:spPr>
                </pic:pic>
              </a:graphicData>
            </a:graphic>
          </wp:inline>
        </w:drawing>
      </w:r>
    </w:p>
    <w:p w14:paraId="33DA9086" w14:textId="5527E297" w:rsidR="00E6737D" w:rsidRDefault="00E6737D" w:rsidP="00E6737D">
      <w:pPr>
        <w:rPr>
          <w:lang w:val="it-IT"/>
        </w:rPr>
      </w:pPr>
      <w:r>
        <w:rPr>
          <w:b/>
          <w:lang w:val="it-IT"/>
        </w:rPr>
        <w:t>ALLSHARE</w:t>
      </w:r>
      <w:r w:rsidRPr="00711C25">
        <w:rPr>
          <w:b/>
          <w:lang w:val="it-IT"/>
        </w:rPr>
        <w:t>:</w:t>
      </w:r>
      <w:r w:rsidRPr="00981C90">
        <w:rPr>
          <w:lang w:val="it-IT"/>
        </w:rPr>
        <w:t xml:space="preserve"> </w:t>
      </w:r>
      <w:r w:rsidR="009873B2">
        <w:rPr>
          <w:lang w:val="it-IT"/>
        </w:rPr>
        <w:t>permane lo stato di short</w:t>
      </w:r>
      <w:r w:rsidR="00A8375D">
        <w:rPr>
          <w:lang w:val="it-IT"/>
        </w:rPr>
        <w:t xml:space="preserve"> individuato da quale settimana dall’indicatore Trendycator</w:t>
      </w:r>
      <w:r w:rsidR="00631C96">
        <w:rPr>
          <w:lang w:val="it-IT"/>
        </w:rPr>
        <w:t>.</w:t>
      </w:r>
      <w:r w:rsidR="00A8375D">
        <w:rPr>
          <w:lang w:val="it-IT"/>
        </w:rPr>
        <w:t xml:space="preserve"> Anche l’oscillatore è permanentemente sotto area 20. </w:t>
      </w:r>
      <w:r w:rsidR="00BF4A3E">
        <w:rPr>
          <w:lang w:val="it-IT"/>
        </w:rPr>
        <w:t xml:space="preserve">Qualora l’indice dovesse violare anche il supporto </w:t>
      </w:r>
      <w:r w:rsidR="008A1116">
        <w:rPr>
          <w:lang w:val="it-IT"/>
        </w:rPr>
        <w:t>posizionato a 20410 punti,</w:t>
      </w:r>
      <w:r w:rsidR="00BF4A3E">
        <w:rPr>
          <w:lang w:val="it-IT"/>
        </w:rPr>
        <w:t xml:space="preserve"> </w:t>
      </w:r>
      <w:r w:rsidR="00492E72">
        <w:rPr>
          <w:lang w:val="it-IT"/>
        </w:rPr>
        <w:t>l’indice tornerebbe ai valori del 2016 annullando un anno di crescita.</w:t>
      </w:r>
      <w:r w:rsidR="00323DDA">
        <w:rPr>
          <w:lang w:val="it-IT"/>
        </w:rPr>
        <w:t xml:space="preserve"> Non si può parlare di ripresa del long fino a che non supererà </w:t>
      </w:r>
      <w:r w:rsidR="00EA67DC">
        <w:rPr>
          <w:lang w:val="it-IT"/>
        </w:rPr>
        <w:t>23500.</w:t>
      </w:r>
    </w:p>
    <w:p w14:paraId="0B5415F2" w14:textId="77777777" w:rsidR="00E6737D" w:rsidRPr="00E6737D" w:rsidRDefault="00E6737D" w:rsidP="009F325D">
      <w:pPr>
        <w:spacing w:after="0" w:line="240" w:lineRule="auto"/>
        <w:jc w:val="center"/>
        <w:rPr>
          <w:rFonts w:ascii="Century Gothic" w:hAnsi="Century Gothic"/>
          <w:sz w:val="18"/>
          <w:szCs w:val="18"/>
          <w:lang w:val="it-IT"/>
        </w:rPr>
      </w:pPr>
    </w:p>
    <w:p w14:paraId="009B4EC9" w14:textId="7594F0B8" w:rsidR="009F325D" w:rsidRDefault="00990B7A" w:rsidP="009F325D">
      <w:pPr>
        <w:spacing w:after="0" w:line="240" w:lineRule="auto"/>
        <w:jc w:val="both"/>
        <w:rPr>
          <w:rFonts w:ascii="Century Gothic" w:hAnsi="Century Gothic"/>
          <w:sz w:val="18"/>
          <w:szCs w:val="18"/>
        </w:rPr>
      </w:pPr>
      <w:r>
        <w:rPr>
          <w:noProof/>
          <w:lang w:val="it-IT" w:eastAsia="it-IT"/>
        </w:rPr>
        <w:drawing>
          <wp:inline distT="0" distB="0" distL="0" distR="0" wp14:anchorId="6DE3C780" wp14:editId="3FDB5025">
            <wp:extent cx="6858000" cy="3190240"/>
            <wp:effectExtent l="0" t="0" r="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190240"/>
                    </a:xfrm>
                    <a:prstGeom prst="rect">
                      <a:avLst/>
                    </a:prstGeom>
                  </pic:spPr>
                </pic:pic>
              </a:graphicData>
            </a:graphic>
          </wp:inline>
        </w:drawing>
      </w:r>
    </w:p>
    <w:p w14:paraId="71F8F8AF" w14:textId="03E4CC6F" w:rsidR="00270834" w:rsidRPr="00270834" w:rsidRDefault="00270834" w:rsidP="006C02D8">
      <w:pPr>
        <w:rPr>
          <w:rFonts w:ascii="Century Gothic" w:hAnsi="Century Gothic"/>
          <w:sz w:val="18"/>
          <w:szCs w:val="18"/>
          <w:lang w:val="it-IT"/>
        </w:rPr>
      </w:pPr>
      <w:r>
        <w:rPr>
          <w:b/>
          <w:lang w:val="it-IT"/>
        </w:rPr>
        <w:t>EUROSTOXX 50</w:t>
      </w:r>
      <w:r w:rsidRPr="00711C25">
        <w:rPr>
          <w:b/>
          <w:lang w:val="it-IT"/>
        </w:rPr>
        <w:t>:</w:t>
      </w:r>
      <w:r>
        <w:rPr>
          <w:lang w:val="it-IT"/>
        </w:rPr>
        <w:t xml:space="preserve"> </w:t>
      </w:r>
      <w:r w:rsidR="00FA0CC5">
        <w:rPr>
          <w:lang w:val="it-IT"/>
        </w:rPr>
        <w:t xml:space="preserve">indice europeo che tenta di resistere nell’intorno del </w:t>
      </w:r>
      <w:r w:rsidR="00E8272E">
        <w:rPr>
          <w:lang w:val="it-IT"/>
        </w:rPr>
        <w:t>livello chiave a 3.064 punti</w:t>
      </w:r>
      <w:r w:rsidR="00EA4AEB">
        <w:rPr>
          <w:lang w:val="it-IT"/>
        </w:rPr>
        <w:t>.</w:t>
      </w:r>
      <w:r w:rsidR="002F6E3B">
        <w:rPr>
          <w:lang w:val="it-IT"/>
        </w:rPr>
        <w:t xml:space="preserve"> Al momento l’indicatore rimane in zona rossa dunque non si potrà parlare di nuovo long sino ad almeno area </w:t>
      </w:r>
      <w:r w:rsidR="009C0495">
        <w:rPr>
          <w:lang w:val="it-IT"/>
        </w:rPr>
        <w:t>3</w:t>
      </w:r>
      <w:r w:rsidR="00333496">
        <w:rPr>
          <w:lang w:val="it-IT"/>
        </w:rPr>
        <w:t>452</w:t>
      </w:r>
      <w:r w:rsidR="009C0495">
        <w:rPr>
          <w:lang w:val="it-IT"/>
        </w:rPr>
        <w:t>.</w:t>
      </w:r>
      <w:r w:rsidR="00812600">
        <w:rPr>
          <w:lang w:val="it-IT"/>
        </w:rPr>
        <w:t xml:space="preserve"> In caso di superamento al ribasso dei minimi, il prossimo </w:t>
      </w:r>
      <w:r w:rsidR="00557AD0">
        <w:rPr>
          <w:lang w:val="it-IT"/>
        </w:rPr>
        <w:t xml:space="preserve">supporto è a </w:t>
      </w:r>
      <w:r w:rsidR="00333496">
        <w:rPr>
          <w:lang w:val="it-IT"/>
        </w:rPr>
        <w:t>2.912</w:t>
      </w:r>
      <w:r w:rsidR="00557AD0">
        <w:rPr>
          <w:lang w:val="it-IT"/>
        </w:rPr>
        <w:t xml:space="preserve"> punti.</w:t>
      </w:r>
    </w:p>
    <w:p w14:paraId="009B4ECA" w14:textId="636ED8FE" w:rsidR="000D6B77" w:rsidRPr="00270834" w:rsidRDefault="000D6B77" w:rsidP="009F325D">
      <w:pPr>
        <w:spacing w:after="0" w:line="240" w:lineRule="auto"/>
        <w:jc w:val="both"/>
        <w:rPr>
          <w:rFonts w:ascii="Century Gothic" w:hAnsi="Century Gothic"/>
          <w:sz w:val="18"/>
          <w:szCs w:val="18"/>
          <w:lang w:val="it-IT"/>
        </w:rPr>
      </w:pPr>
    </w:p>
    <w:p w14:paraId="009B4ECB" w14:textId="0595E058" w:rsidR="00F42460" w:rsidRPr="00D826CA" w:rsidRDefault="00D826CA" w:rsidP="009F325D">
      <w:pPr>
        <w:spacing w:after="0" w:line="240" w:lineRule="auto"/>
        <w:jc w:val="center"/>
        <w:rPr>
          <w:rFonts w:ascii="Century Gothic" w:hAnsi="Century Gothic"/>
          <w:sz w:val="18"/>
          <w:szCs w:val="18"/>
          <w:lang w:val="it-IT"/>
        </w:rPr>
      </w:pPr>
      <w:r>
        <w:rPr>
          <w:noProof/>
          <w:lang w:val="it-IT" w:eastAsia="it-IT"/>
        </w:rPr>
        <w:lastRenderedPageBreak/>
        <w:drawing>
          <wp:inline distT="0" distB="0" distL="0" distR="0" wp14:anchorId="61CC5068" wp14:editId="1BF1083C">
            <wp:extent cx="6858000" cy="3190240"/>
            <wp:effectExtent l="38100" t="38100" r="38100" b="2921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1D4314C5" w14:textId="1BE0BEA9" w:rsidR="008A54D2" w:rsidRPr="008A54D2" w:rsidRDefault="000E3F12" w:rsidP="00A410A4">
      <w:pPr>
        <w:rPr>
          <w:rFonts w:ascii="Century Gothic" w:hAnsi="Century Gothic"/>
          <w:sz w:val="18"/>
          <w:szCs w:val="18"/>
          <w:lang w:val="it-IT"/>
        </w:rPr>
      </w:pPr>
      <w:r>
        <w:rPr>
          <w:b/>
          <w:lang w:val="it-IT"/>
        </w:rPr>
        <w:t>S&amp;P 500</w:t>
      </w:r>
      <w:r w:rsidRPr="00711C25">
        <w:rPr>
          <w:b/>
          <w:lang w:val="it-IT"/>
        </w:rPr>
        <w:t>:</w:t>
      </w:r>
      <w:r>
        <w:rPr>
          <w:lang w:val="it-IT"/>
        </w:rPr>
        <w:t xml:space="preserve"> </w:t>
      </w:r>
      <w:r w:rsidR="00D9709F">
        <w:rPr>
          <w:lang w:val="it-IT"/>
        </w:rPr>
        <w:t>come detto nel webcast, la divergenza negativa palesata sull’indice americano è di quelle importanti</w:t>
      </w:r>
      <w:r w:rsidR="005C13AA">
        <w:rPr>
          <w:lang w:val="it-IT"/>
        </w:rPr>
        <w:t>.</w:t>
      </w:r>
      <w:r w:rsidR="00D9709F">
        <w:rPr>
          <w:lang w:val="it-IT"/>
        </w:rPr>
        <w:t xml:space="preserve"> Al momento l’indicatore è neutrale</w:t>
      </w:r>
      <w:r w:rsidR="003C7054">
        <w:rPr>
          <w:lang w:val="it-IT"/>
        </w:rPr>
        <w:t xml:space="preserve"> </w:t>
      </w:r>
      <w:r w:rsidR="00EB1F5B">
        <w:rPr>
          <w:lang w:val="it-IT"/>
        </w:rPr>
        <w:t>pertanto</w:t>
      </w:r>
      <w:r w:rsidR="003C7054">
        <w:rPr>
          <w:lang w:val="it-IT"/>
        </w:rPr>
        <w:t xml:space="preserve"> al momento</w:t>
      </w:r>
      <w:r w:rsidR="00EB1F5B">
        <w:rPr>
          <w:lang w:val="it-IT"/>
        </w:rPr>
        <w:t xml:space="preserve"> non consigliamo l’apertura di nuove posizioni long.</w:t>
      </w:r>
      <w:r w:rsidR="003C7054">
        <w:rPr>
          <w:lang w:val="it-IT"/>
        </w:rPr>
        <w:t xml:space="preserve"> </w:t>
      </w:r>
      <w:r w:rsidR="00C4672B">
        <w:rPr>
          <w:lang w:val="it-IT"/>
        </w:rPr>
        <w:t xml:space="preserve">I livelli </w:t>
      </w:r>
      <w:r w:rsidR="008D49AF">
        <w:rPr>
          <w:lang w:val="it-IT"/>
        </w:rPr>
        <w:t xml:space="preserve">che fungono da supporto </w:t>
      </w:r>
      <w:r w:rsidR="00C4672B">
        <w:rPr>
          <w:lang w:val="it-IT"/>
        </w:rPr>
        <w:t>da</w:t>
      </w:r>
      <w:r w:rsidR="00FB7041">
        <w:rPr>
          <w:lang w:val="it-IT"/>
        </w:rPr>
        <w:t xml:space="preserve"> monitorare sono </w:t>
      </w:r>
      <w:r w:rsidR="00C4672B">
        <w:rPr>
          <w:lang w:val="it-IT"/>
        </w:rPr>
        <w:t>in prima istanza 2</w:t>
      </w:r>
      <w:r w:rsidR="0079409C">
        <w:rPr>
          <w:lang w:val="it-IT"/>
        </w:rPr>
        <w:t>.</w:t>
      </w:r>
      <w:r w:rsidR="00C4672B">
        <w:rPr>
          <w:lang w:val="it-IT"/>
        </w:rPr>
        <w:t xml:space="preserve">603 </w:t>
      </w:r>
      <w:r w:rsidR="0079409C">
        <w:rPr>
          <w:lang w:val="it-IT"/>
        </w:rPr>
        <w:t>al di sopra del quale siamo ancora in un territorio neutrale, e 2.502.</w:t>
      </w:r>
    </w:p>
    <w:p w14:paraId="009B4ECE" w14:textId="035D7C7B" w:rsidR="009F325D" w:rsidRPr="003C238A" w:rsidRDefault="00C756BC" w:rsidP="009F325D">
      <w:pPr>
        <w:spacing w:after="0" w:line="240" w:lineRule="auto"/>
        <w:jc w:val="center"/>
        <w:rPr>
          <w:rFonts w:ascii="Century Gothic" w:hAnsi="Century Gothic"/>
          <w:sz w:val="18"/>
          <w:szCs w:val="18"/>
          <w:lang w:val="it-IT"/>
        </w:rPr>
      </w:pPr>
      <w:r>
        <w:rPr>
          <w:noProof/>
          <w:lang w:val="it-IT" w:eastAsia="it-IT"/>
        </w:rPr>
        <w:drawing>
          <wp:inline distT="0" distB="0" distL="0" distR="0" wp14:anchorId="347D2FE2" wp14:editId="62962FAF">
            <wp:extent cx="6858000" cy="3190240"/>
            <wp:effectExtent l="38100" t="38100" r="38100" b="2921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15040B8A" w14:textId="399BA208" w:rsidR="0000063A" w:rsidRPr="00981C90" w:rsidRDefault="0000063A" w:rsidP="0000063A">
      <w:pPr>
        <w:rPr>
          <w:lang w:val="it-IT"/>
        </w:rPr>
      </w:pPr>
      <w:r>
        <w:rPr>
          <w:b/>
          <w:lang w:val="it-IT"/>
        </w:rPr>
        <w:t>NIKKEI 225</w:t>
      </w:r>
      <w:r w:rsidRPr="00711C25">
        <w:rPr>
          <w:b/>
          <w:lang w:val="it-IT"/>
        </w:rPr>
        <w:t>:</w:t>
      </w:r>
      <w:r>
        <w:rPr>
          <w:lang w:val="it-IT"/>
        </w:rPr>
        <w:t xml:space="preserve"> </w:t>
      </w:r>
      <w:r w:rsidR="00756D2D">
        <w:rPr>
          <w:lang w:val="it-IT"/>
        </w:rPr>
        <w:t xml:space="preserve">sul </w:t>
      </w:r>
      <w:r w:rsidR="002A0802">
        <w:rPr>
          <w:lang w:val="it-IT"/>
        </w:rPr>
        <w:t>G</w:t>
      </w:r>
      <w:r w:rsidR="00756D2D">
        <w:rPr>
          <w:lang w:val="it-IT"/>
        </w:rPr>
        <w:t xml:space="preserve">iappone il rischio è che si presenti una situazione analoga a quella vista per gli </w:t>
      </w:r>
      <w:r w:rsidR="002A0802">
        <w:rPr>
          <w:lang w:val="it-IT"/>
        </w:rPr>
        <w:t>S</w:t>
      </w:r>
      <w:r w:rsidR="00756D2D">
        <w:rPr>
          <w:lang w:val="it-IT"/>
        </w:rPr>
        <w:t xml:space="preserve">tati </w:t>
      </w:r>
      <w:r w:rsidR="002A0802">
        <w:rPr>
          <w:lang w:val="it-IT"/>
        </w:rPr>
        <w:t>U</w:t>
      </w:r>
      <w:r w:rsidR="00756D2D">
        <w:rPr>
          <w:lang w:val="it-IT"/>
        </w:rPr>
        <w:t>niti</w:t>
      </w:r>
      <w:r w:rsidR="002A0802">
        <w:rPr>
          <w:lang w:val="it-IT"/>
        </w:rPr>
        <w:t xml:space="preserve"> con un doppio massimo che al momento presenta una divergenza negativa negli indicatori.</w:t>
      </w:r>
      <w:r w:rsidR="008D49AF">
        <w:rPr>
          <w:lang w:val="it-IT"/>
        </w:rPr>
        <w:t xml:space="preserve"> Anche in questo caso sul grafico mostriamo i supporti da monitorare.</w:t>
      </w:r>
    </w:p>
    <w:p w14:paraId="74A264DB" w14:textId="77777777" w:rsidR="0000063A" w:rsidRPr="0000063A" w:rsidRDefault="0000063A" w:rsidP="009F325D">
      <w:pPr>
        <w:spacing w:after="0" w:line="240" w:lineRule="auto"/>
        <w:jc w:val="center"/>
        <w:rPr>
          <w:rFonts w:ascii="Century Gothic" w:hAnsi="Century Gothic"/>
          <w:sz w:val="18"/>
          <w:szCs w:val="18"/>
          <w:lang w:val="it-IT"/>
        </w:rPr>
      </w:pPr>
    </w:p>
    <w:p w14:paraId="009B4ECF" w14:textId="2C6C1355" w:rsidR="009F325D" w:rsidRPr="0000063A" w:rsidRDefault="009F325D" w:rsidP="00131571">
      <w:pPr>
        <w:spacing w:after="0" w:line="240" w:lineRule="auto"/>
        <w:jc w:val="center"/>
        <w:rPr>
          <w:rFonts w:ascii="Century Gothic" w:hAnsi="Century Gothic"/>
          <w:sz w:val="18"/>
          <w:szCs w:val="18"/>
          <w:lang w:val="it-IT"/>
        </w:rPr>
      </w:pPr>
    </w:p>
    <w:p w14:paraId="009B4ED0" w14:textId="77777777" w:rsidR="0013475F" w:rsidRDefault="0013475F" w:rsidP="009F325D">
      <w:pPr>
        <w:spacing w:after="0" w:line="240" w:lineRule="auto"/>
        <w:jc w:val="both"/>
        <w:rPr>
          <w:noProof/>
          <w:lang w:val="it-IT" w:eastAsia="it-IT"/>
        </w:rPr>
      </w:pPr>
    </w:p>
    <w:p w14:paraId="009B4ED1" w14:textId="565B68FE" w:rsidR="009F325D" w:rsidRDefault="00EE5F4F" w:rsidP="009F325D">
      <w:pPr>
        <w:spacing w:after="0" w:line="240" w:lineRule="auto"/>
        <w:jc w:val="both"/>
        <w:rPr>
          <w:rFonts w:ascii="Century Gothic" w:hAnsi="Century Gothic"/>
          <w:sz w:val="18"/>
          <w:szCs w:val="18"/>
          <w:lang w:val="it-IT"/>
        </w:rPr>
      </w:pPr>
      <w:r>
        <w:rPr>
          <w:noProof/>
          <w:lang w:val="it-IT" w:eastAsia="it-IT"/>
        </w:rPr>
        <w:lastRenderedPageBreak/>
        <w:drawing>
          <wp:inline distT="0" distB="0" distL="0" distR="0" wp14:anchorId="0BD7C2AD" wp14:editId="46ACF977">
            <wp:extent cx="6858000" cy="3190240"/>
            <wp:effectExtent l="38100" t="38100" r="38100" b="2921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628710E9" w14:textId="23FD8688" w:rsidR="00253B95" w:rsidRPr="00981C90" w:rsidRDefault="00253B95" w:rsidP="00253B95">
      <w:pPr>
        <w:rPr>
          <w:lang w:val="it-IT"/>
        </w:rPr>
      </w:pPr>
      <w:r>
        <w:rPr>
          <w:b/>
          <w:lang w:val="it-IT"/>
        </w:rPr>
        <w:t>SHANGHAI</w:t>
      </w:r>
      <w:r w:rsidRPr="00711C25">
        <w:rPr>
          <w:b/>
          <w:lang w:val="it-IT"/>
        </w:rPr>
        <w:t>:</w:t>
      </w:r>
      <w:r>
        <w:rPr>
          <w:lang w:val="it-IT"/>
        </w:rPr>
        <w:t xml:space="preserve"> </w:t>
      </w:r>
      <w:r w:rsidR="004C1EDC">
        <w:rPr>
          <w:lang w:val="it-IT"/>
        </w:rPr>
        <w:t>indice ancora ribassista con due distinguo da fare</w:t>
      </w:r>
      <w:r w:rsidR="009441D5">
        <w:rPr>
          <w:lang w:val="it-IT"/>
        </w:rPr>
        <w:t>.</w:t>
      </w:r>
      <w:r w:rsidR="004C1EDC">
        <w:rPr>
          <w:lang w:val="it-IT"/>
        </w:rPr>
        <w:t xml:space="preserve"> si nota dal grafico che al momento ormai da più di un mese</w:t>
      </w:r>
      <w:r w:rsidR="00BE226B">
        <w:rPr>
          <w:lang w:val="it-IT"/>
        </w:rPr>
        <w:t>, il minimo del 2016 sta funzionando bene come supporto.</w:t>
      </w:r>
      <w:r w:rsidR="00236CD1">
        <w:rPr>
          <w:lang w:val="it-IT"/>
        </w:rPr>
        <w:t xml:space="preserve"> Inoltre, l’oscillatore ha iniziato da qualche settimana una divergenza positiva. </w:t>
      </w:r>
      <w:r w:rsidR="00C00AEA">
        <w:rPr>
          <w:lang w:val="it-IT"/>
        </w:rPr>
        <w:t xml:space="preserve">Non si potrà parlare di long sino al ritorno in area </w:t>
      </w:r>
      <w:r w:rsidR="003B1182">
        <w:rPr>
          <w:lang w:val="it-IT"/>
        </w:rPr>
        <w:t>28</w:t>
      </w:r>
      <w:r w:rsidR="00915543">
        <w:rPr>
          <w:lang w:val="it-IT"/>
        </w:rPr>
        <w:t>83</w:t>
      </w:r>
      <w:r w:rsidR="003B1182">
        <w:rPr>
          <w:lang w:val="it-IT"/>
        </w:rPr>
        <w:t xml:space="preserve">, ma come detto in sede di webcast rappresenta una interessante </w:t>
      </w:r>
      <w:r w:rsidR="00575787">
        <w:rPr>
          <w:lang w:val="it-IT"/>
        </w:rPr>
        <w:t>possibilità speculativa</w:t>
      </w:r>
      <w:r w:rsidR="00C00AEA">
        <w:rPr>
          <w:lang w:val="it-IT"/>
        </w:rPr>
        <w:t xml:space="preserve">. </w:t>
      </w:r>
      <w:r w:rsidR="00915543">
        <w:rPr>
          <w:lang w:val="it-IT"/>
        </w:rPr>
        <w:t xml:space="preserve">I possibili target di un potenziale rimbalzo sono a </w:t>
      </w:r>
      <w:r w:rsidR="007F3F7A">
        <w:rPr>
          <w:lang w:val="it-IT"/>
        </w:rPr>
        <w:t>2.883 e 3.018.</w:t>
      </w:r>
    </w:p>
    <w:p w14:paraId="009B4EDA" w14:textId="61B8366B" w:rsidR="009F325D" w:rsidRPr="008B122E" w:rsidRDefault="009F325D" w:rsidP="009F325D">
      <w:pPr>
        <w:spacing w:after="0" w:line="240" w:lineRule="auto"/>
        <w:jc w:val="center"/>
        <w:rPr>
          <w:rFonts w:ascii="Century Gothic" w:hAnsi="Century Gothic"/>
          <w:sz w:val="18"/>
          <w:szCs w:val="18"/>
          <w:lang w:val="it-IT"/>
        </w:rPr>
      </w:pPr>
    </w:p>
    <w:p w14:paraId="009B4EE3" w14:textId="399EADB2" w:rsidR="00AD4EB0" w:rsidRPr="00545804" w:rsidRDefault="00545804" w:rsidP="00AD4EB0">
      <w:pPr>
        <w:spacing w:after="0" w:line="240" w:lineRule="auto"/>
        <w:rPr>
          <w:noProof/>
          <w:lang w:val="it-IT"/>
        </w:rPr>
      </w:pPr>
      <w:r>
        <w:rPr>
          <w:noProof/>
          <w:lang w:val="it-IT" w:eastAsia="it-IT"/>
        </w:rPr>
        <w:drawing>
          <wp:inline distT="0" distB="0" distL="0" distR="0" wp14:anchorId="177A6414" wp14:editId="7BCB93BC">
            <wp:extent cx="6858000" cy="3190240"/>
            <wp:effectExtent l="38100" t="38100" r="38100" b="2921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4406016D" w14:textId="1A7454B0" w:rsidR="00DC02F7" w:rsidRPr="00981C90" w:rsidRDefault="00DC02F7" w:rsidP="00DC02F7">
      <w:pPr>
        <w:rPr>
          <w:lang w:val="it-IT"/>
        </w:rPr>
      </w:pPr>
      <w:r w:rsidRPr="00711C25">
        <w:rPr>
          <w:b/>
          <w:lang w:val="it-IT"/>
        </w:rPr>
        <w:t>ORO:</w:t>
      </w:r>
      <w:r w:rsidRPr="00981C90">
        <w:rPr>
          <w:lang w:val="it-IT"/>
        </w:rPr>
        <w:t xml:space="preserve"> </w:t>
      </w:r>
      <w:r w:rsidR="00A30ED6">
        <w:rPr>
          <w:lang w:val="it-IT"/>
        </w:rPr>
        <w:t xml:space="preserve">metallo </w:t>
      </w:r>
      <w:r w:rsidR="00C93E4A">
        <w:rPr>
          <w:lang w:val="it-IT"/>
        </w:rPr>
        <w:t xml:space="preserve">sempre sotto pressione </w:t>
      </w:r>
      <w:r w:rsidR="00A57B7F">
        <w:rPr>
          <w:lang w:val="it-IT"/>
        </w:rPr>
        <w:t>con Trendycator short</w:t>
      </w:r>
      <w:r w:rsidR="00B81C93">
        <w:rPr>
          <w:lang w:val="it-IT"/>
        </w:rPr>
        <w:t>.</w:t>
      </w:r>
      <w:r w:rsidR="00A57B7F">
        <w:rPr>
          <w:lang w:val="it-IT"/>
        </w:rPr>
        <w:t xml:space="preserve"> Unica nota che necessita però una conferma </w:t>
      </w:r>
      <w:r w:rsidR="00767898">
        <w:rPr>
          <w:lang w:val="it-IT"/>
        </w:rPr>
        <w:t>è la divergenza in atto sull’oscillatore.</w:t>
      </w:r>
    </w:p>
    <w:p w14:paraId="29EDC172" w14:textId="77777777" w:rsidR="00DC02F7" w:rsidRDefault="00DC02F7" w:rsidP="00AD4EB0">
      <w:pPr>
        <w:spacing w:after="0" w:line="240" w:lineRule="auto"/>
        <w:rPr>
          <w:noProof/>
          <w:lang w:val="it-IT" w:eastAsia="it-IT"/>
        </w:rPr>
      </w:pPr>
    </w:p>
    <w:p w14:paraId="009B4EE4" w14:textId="77777777" w:rsidR="009F325D" w:rsidRPr="00DC02F7" w:rsidRDefault="009F325D" w:rsidP="009F325D">
      <w:pPr>
        <w:spacing w:after="0" w:line="240" w:lineRule="auto"/>
        <w:jc w:val="center"/>
        <w:rPr>
          <w:rFonts w:ascii="Century Gothic" w:hAnsi="Century Gothic"/>
          <w:sz w:val="18"/>
          <w:szCs w:val="18"/>
          <w:lang w:val="it-IT"/>
        </w:rPr>
      </w:pPr>
    </w:p>
    <w:p w14:paraId="009B4EE6" w14:textId="2F0C3570" w:rsidR="009F325D" w:rsidRDefault="00663ED3" w:rsidP="009F325D">
      <w:pPr>
        <w:spacing w:after="0" w:line="240" w:lineRule="auto"/>
        <w:jc w:val="center"/>
        <w:rPr>
          <w:rFonts w:ascii="Century Gothic" w:hAnsi="Century Gothic"/>
          <w:b/>
          <w:sz w:val="18"/>
          <w:szCs w:val="18"/>
        </w:rPr>
      </w:pPr>
      <w:r>
        <w:rPr>
          <w:noProof/>
          <w:lang w:val="it-IT" w:eastAsia="it-IT"/>
        </w:rPr>
        <w:lastRenderedPageBreak/>
        <w:drawing>
          <wp:inline distT="0" distB="0" distL="0" distR="0" wp14:anchorId="026AE062" wp14:editId="1107B833">
            <wp:extent cx="6858000" cy="3190240"/>
            <wp:effectExtent l="38100" t="38100" r="38100" b="2921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6F7FB7B7" w14:textId="10F48E53" w:rsidR="007D3B3C" w:rsidRDefault="00BE1B49" w:rsidP="00BE1B49">
      <w:pPr>
        <w:rPr>
          <w:lang w:val="it-IT"/>
        </w:rPr>
      </w:pPr>
      <w:r>
        <w:rPr>
          <w:b/>
          <w:lang w:val="it-IT"/>
        </w:rPr>
        <w:t>EUR/USD</w:t>
      </w:r>
      <w:r w:rsidRPr="00711C25">
        <w:rPr>
          <w:b/>
          <w:lang w:val="it-IT"/>
        </w:rPr>
        <w:t>:</w:t>
      </w:r>
      <w:r w:rsidRPr="00981C90">
        <w:rPr>
          <w:lang w:val="it-IT"/>
        </w:rPr>
        <w:t xml:space="preserve"> </w:t>
      </w:r>
      <w:r w:rsidR="00737A85">
        <w:rPr>
          <w:lang w:val="it-IT"/>
        </w:rPr>
        <w:t xml:space="preserve">improvvisa accelerazione per il cross valutario che permane in stato rosso di </w:t>
      </w:r>
      <w:r w:rsidR="00CA3667">
        <w:rPr>
          <w:lang w:val="it-IT"/>
        </w:rPr>
        <w:t>T</w:t>
      </w:r>
      <w:r w:rsidR="00737A85">
        <w:rPr>
          <w:lang w:val="it-IT"/>
        </w:rPr>
        <w:t xml:space="preserve">rendycator superando </w:t>
      </w:r>
      <w:r w:rsidR="00355F97">
        <w:rPr>
          <w:lang w:val="it-IT"/>
        </w:rPr>
        <w:t>il precedente bottom</w:t>
      </w:r>
      <w:r w:rsidR="002E4AC4">
        <w:rPr>
          <w:lang w:val="it-IT"/>
        </w:rPr>
        <w:t>.</w:t>
      </w:r>
      <w:r w:rsidR="00120DD8">
        <w:rPr>
          <w:lang w:val="it-IT"/>
        </w:rPr>
        <w:t xml:space="preserve"> Al livello di 1</w:t>
      </w:r>
      <w:r w:rsidR="003A50F6">
        <w:rPr>
          <w:lang w:val="it-IT"/>
        </w:rPr>
        <w:t>,</w:t>
      </w:r>
      <w:r w:rsidR="00120DD8">
        <w:rPr>
          <w:lang w:val="it-IT"/>
        </w:rPr>
        <w:t>1214</w:t>
      </w:r>
      <w:r w:rsidR="003A50F6">
        <w:rPr>
          <w:lang w:val="it-IT"/>
        </w:rPr>
        <w:t xml:space="preserve"> c’è </w:t>
      </w:r>
      <w:r w:rsidR="00880AD7">
        <w:rPr>
          <w:lang w:val="it-IT"/>
        </w:rPr>
        <w:t>il primo</w:t>
      </w:r>
      <w:r w:rsidR="00663ED3">
        <w:rPr>
          <w:lang w:val="it-IT"/>
        </w:rPr>
        <w:t xml:space="preserve"> </w:t>
      </w:r>
      <w:r w:rsidR="003A50F6">
        <w:rPr>
          <w:lang w:val="it-IT"/>
        </w:rPr>
        <w:t>importante supporto da tenere monitorato</w:t>
      </w:r>
      <w:r w:rsidR="00880AD7">
        <w:rPr>
          <w:lang w:val="it-IT"/>
        </w:rPr>
        <w:t>.</w:t>
      </w:r>
    </w:p>
    <w:p w14:paraId="1C259483" w14:textId="28568A6A" w:rsidR="003368EC" w:rsidRPr="00044864" w:rsidRDefault="00044864" w:rsidP="003368EC">
      <w:pPr>
        <w:spacing w:after="0" w:line="240" w:lineRule="auto"/>
        <w:jc w:val="center"/>
        <w:rPr>
          <w:noProof/>
          <w:lang w:val="it-IT" w:eastAsia="it-IT"/>
        </w:rPr>
      </w:pPr>
      <w:r>
        <w:rPr>
          <w:noProof/>
          <w:lang w:val="it-IT" w:eastAsia="it-IT"/>
        </w:rPr>
        <w:drawing>
          <wp:inline distT="0" distB="0" distL="0" distR="0" wp14:anchorId="1B08BE48" wp14:editId="3D98865C">
            <wp:extent cx="6858000" cy="3190240"/>
            <wp:effectExtent l="38100" t="38100" r="38100" b="2921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68BF2A86" w14:textId="41BDFA02" w:rsidR="003368EC" w:rsidRDefault="00375053" w:rsidP="00375053">
      <w:pPr>
        <w:rPr>
          <w:lang w:val="it-IT"/>
        </w:rPr>
      </w:pPr>
      <w:r>
        <w:rPr>
          <w:b/>
          <w:lang w:val="it-IT"/>
        </w:rPr>
        <w:t>EUR/CAD</w:t>
      </w:r>
      <w:r w:rsidRPr="00711C25">
        <w:rPr>
          <w:b/>
          <w:lang w:val="it-IT"/>
        </w:rPr>
        <w:t>:</w:t>
      </w:r>
      <w:r>
        <w:rPr>
          <w:b/>
          <w:lang w:val="it-IT"/>
        </w:rPr>
        <w:t xml:space="preserve"> </w:t>
      </w:r>
      <w:r w:rsidR="00FD6142">
        <w:rPr>
          <w:lang w:val="it-IT"/>
        </w:rPr>
        <w:t>continua</w:t>
      </w:r>
      <w:r w:rsidR="00A813A7">
        <w:rPr>
          <w:lang w:val="it-IT"/>
        </w:rPr>
        <w:t xml:space="preserve"> il momento di debolezza </w:t>
      </w:r>
      <w:r w:rsidR="002C6A62">
        <w:rPr>
          <w:lang w:val="it-IT"/>
        </w:rPr>
        <w:t>sul cambio con il dollaro canades</w:t>
      </w:r>
      <w:r w:rsidR="00996879">
        <w:rPr>
          <w:lang w:val="it-IT"/>
        </w:rPr>
        <w:t>e</w:t>
      </w:r>
      <w:r w:rsidR="00015707">
        <w:rPr>
          <w:lang w:val="it-IT"/>
        </w:rPr>
        <w:t>.</w:t>
      </w:r>
    </w:p>
    <w:p w14:paraId="08CF34B8" w14:textId="0443ACB5" w:rsidR="003368EC" w:rsidRDefault="00C647C4" w:rsidP="003368EC">
      <w:pPr>
        <w:spacing w:after="0" w:line="240" w:lineRule="auto"/>
        <w:jc w:val="center"/>
        <w:rPr>
          <w:noProof/>
          <w:lang w:val="it-IT" w:eastAsia="it-IT"/>
        </w:rPr>
      </w:pPr>
      <w:r>
        <w:rPr>
          <w:noProof/>
          <w:lang w:val="it-IT" w:eastAsia="it-IT"/>
        </w:rPr>
        <w:lastRenderedPageBreak/>
        <w:drawing>
          <wp:inline distT="0" distB="0" distL="0" distR="0" wp14:anchorId="33454D35" wp14:editId="17EBA579">
            <wp:extent cx="6858000" cy="3190240"/>
            <wp:effectExtent l="38100" t="38100" r="38100" b="2921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102628C0" w14:textId="702F36A0" w:rsidR="003368EC" w:rsidRDefault="003C6539" w:rsidP="003C6539">
      <w:pPr>
        <w:rPr>
          <w:lang w:val="it-IT"/>
        </w:rPr>
      </w:pPr>
      <w:r>
        <w:rPr>
          <w:b/>
          <w:lang w:val="it-IT"/>
        </w:rPr>
        <w:t>EUR/AUD</w:t>
      </w:r>
      <w:r w:rsidRPr="00711C25">
        <w:rPr>
          <w:b/>
          <w:lang w:val="it-IT"/>
        </w:rPr>
        <w:t>:</w:t>
      </w:r>
      <w:r w:rsidRPr="00981C90">
        <w:rPr>
          <w:lang w:val="it-IT"/>
        </w:rPr>
        <w:t xml:space="preserve"> </w:t>
      </w:r>
      <w:r w:rsidR="005E55ED">
        <w:rPr>
          <w:lang w:val="it-IT"/>
        </w:rPr>
        <w:t xml:space="preserve">primo segnale di </w:t>
      </w:r>
      <w:r w:rsidR="0080216D">
        <w:rPr>
          <w:lang w:val="it-IT"/>
        </w:rPr>
        <w:t>interruzione del trend positivo</w:t>
      </w:r>
      <w:r w:rsidR="003D1946">
        <w:rPr>
          <w:lang w:val="it-IT"/>
        </w:rPr>
        <w:t>.</w:t>
      </w:r>
      <w:r w:rsidR="0080216D">
        <w:rPr>
          <w:lang w:val="it-IT"/>
        </w:rPr>
        <w:t xml:space="preserve"> Al momento si evidenzia appena la prima settimana neutrale.</w:t>
      </w:r>
      <w:r w:rsidR="00C647C4">
        <w:rPr>
          <w:lang w:val="it-IT"/>
        </w:rPr>
        <w:t xml:space="preserve"> Se dovesse consolidarsi la discesa, il primo target sarebbe in area 1,5316.</w:t>
      </w:r>
    </w:p>
    <w:p w14:paraId="22F6002E" w14:textId="77777777" w:rsidR="003368EC" w:rsidRDefault="003368EC" w:rsidP="003368EC">
      <w:pPr>
        <w:spacing w:after="0" w:line="240" w:lineRule="auto"/>
        <w:jc w:val="center"/>
        <w:rPr>
          <w:noProof/>
          <w:lang w:val="it-IT" w:eastAsia="it-IT"/>
        </w:rPr>
      </w:pPr>
    </w:p>
    <w:p w14:paraId="5271A18D" w14:textId="16AB44A8" w:rsidR="003368EC" w:rsidRPr="007A4CBC" w:rsidRDefault="007A4CBC" w:rsidP="003368EC">
      <w:pPr>
        <w:spacing w:after="0" w:line="240" w:lineRule="auto"/>
        <w:jc w:val="center"/>
        <w:rPr>
          <w:noProof/>
          <w:lang w:val="it-IT" w:eastAsia="it-IT"/>
        </w:rPr>
      </w:pPr>
      <w:r>
        <w:rPr>
          <w:noProof/>
          <w:lang w:val="it-IT" w:eastAsia="it-IT"/>
        </w:rPr>
        <w:drawing>
          <wp:inline distT="0" distB="0" distL="0" distR="0" wp14:anchorId="4375994D" wp14:editId="0254B527">
            <wp:extent cx="6858000" cy="3190240"/>
            <wp:effectExtent l="38100" t="38100" r="38100" b="2921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4392EC7F" w14:textId="30FCAB50" w:rsidR="0070637F" w:rsidRDefault="0070637F" w:rsidP="0070637F">
      <w:pPr>
        <w:rPr>
          <w:lang w:val="it-IT"/>
        </w:rPr>
      </w:pPr>
      <w:r>
        <w:rPr>
          <w:b/>
          <w:lang w:val="it-IT"/>
        </w:rPr>
        <w:t>EUR/ZAR</w:t>
      </w:r>
      <w:r w:rsidR="00A224D0">
        <w:rPr>
          <w:b/>
          <w:lang w:val="it-IT"/>
        </w:rPr>
        <w:t>:</w:t>
      </w:r>
      <w:r w:rsidR="009D11D0">
        <w:rPr>
          <w:lang w:val="it-IT"/>
        </w:rPr>
        <w:t xml:space="preserve"> </w:t>
      </w:r>
      <w:r w:rsidR="007A4CBC">
        <w:rPr>
          <w:lang w:val="it-IT"/>
        </w:rPr>
        <w:t>situazione inalterata rispetto a al mese scorso con</w:t>
      </w:r>
      <w:r w:rsidR="00CA3C60">
        <w:rPr>
          <w:lang w:val="it-IT"/>
        </w:rPr>
        <w:t xml:space="preserve"> il cross ancora in fase potenzialmente rialzista</w:t>
      </w:r>
      <w:r w:rsidR="00CA331E">
        <w:rPr>
          <w:lang w:val="it-IT"/>
        </w:rPr>
        <w:t>.</w:t>
      </w:r>
    </w:p>
    <w:p w14:paraId="2E2E8299" w14:textId="77777777" w:rsidR="0070637F" w:rsidRDefault="0070637F" w:rsidP="003368EC">
      <w:pPr>
        <w:spacing w:after="0" w:line="240" w:lineRule="auto"/>
        <w:jc w:val="center"/>
        <w:rPr>
          <w:noProof/>
          <w:lang w:val="it-IT" w:eastAsia="it-IT"/>
        </w:rPr>
      </w:pPr>
    </w:p>
    <w:p w14:paraId="009B4EE7" w14:textId="1F60894F" w:rsidR="009F325D" w:rsidRPr="00ED6722" w:rsidRDefault="00ED6722" w:rsidP="009F325D">
      <w:pPr>
        <w:spacing w:after="0" w:line="240" w:lineRule="auto"/>
        <w:jc w:val="center"/>
        <w:rPr>
          <w:rFonts w:ascii="Century Gothic" w:hAnsi="Century Gothic"/>
          <w:b/>
          <w:sz w:val="18"/>
          <w:szCs w:val="18"/>
          <w:lang w:val="it-IT"/>
        </w:rPr>
      </w:pPr>
      <w:r>
        <w:rPr>
          <w:noProof/>
          <w:lang w:val="it-IT" w:eastAsia="it-IT"/>
        </w:rPr>
        <w:lastRenderedPageBreak/>
        <w:drawing>
          <wp:inline distT="0" distB="0" distL="0" distR="0" wp14:anchorId="55805F95" wp14:editId="6964174B">
            <wp:extent cx="6858000" cy="3190240"/>
            <wp:effectExtent l="38100" t="38100" r="38100" b="2921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27C21563" w14:textId="7C885946" w:rsidR="0045190C" w:rsidRDefault="006A2600" w:rsidP="006A2600">
      <w:pPr>
        <w:rPr>
          <w:lang w:val="it-IT"/>
        </w:rPr>
      </w:pPr>
      <w:r>
        <w:rPr>
          <w:b/>
          <w:lang w:val="it-IT"/>
        </w:rPr>
        <w:t>CRB</w:t>
      </w:r>
      <w:r w:rsidRPr="00711C25">
        <w:rPr>
          <w:b/>
          <w:lang w:val="it-IT"/>
        </w:rPr>
        <w:t>:</w:t>
      </w:r>
      <w:r w:rsidRPr="00981C90">
        <w:rPr>
          <w:lang w:val="it-IT"/>
        </w:rPr>
        <w:t xml:space="preserve"> </w:t>
      </w:r>
      <w:r w:rsidR="006B11CC">
        <w:rPr>
          <w:lang w:val="it-IT"/>
        </w:rPr>
        <w:t xml:space="preserve">a causa della nuova debolezza delle economie mondiali anche le materie prime </w:t>
      </w:r>
      <w:r w:rsidR="00C534DD">
        <w:rPr>
          <w:lang w:val="it-IT"/>
        </w:rPr>
        <w:t>stanno riprendendo lentamente la via neutrale/ribassista</w:t>
      </w:r>
      <w:r w:rsidR="00D3333B">
        <w:rPr>
          <w:lang w:val="it-IT"/>
        </w:rPr>
        <w:t>.</w:t>
      </w:r>
      <w:r>
        <w:rPr>
          <w:lang w:val="it-IT"/>
        </w:rPr>
        <w:t xml:space="preserve"> </w:t>
      </w:r>
    </w:p>
    <w:p w14:paraId="5351998C" w14:textId="13BDC820" w:rsidR="0041132C" w:rsidRDefault="0041132C" w:rsidP="006A2600">
      <w:pPr>
        <w:rPr>
          <w:lang w:val="it-IT"/>
        </w:rPr>
      </w:pPr>
    </w:p>
    <w:p w14:paraId="72B32932" w14:textId="1810EE94" w:rsidR="006A55C1" w:rsidRDefault="006A55C1" w:rsidP="006A2600">
      <w:pPr>
        <w:rPr>
          <w:lang w:val="it-IT"/>
        </w:rPr>
      </w:pPr>
      <w:r>
        <w:rPr>
          <w:noProof/>
          <w:lang w:val="it-IT" w:eastAsia="it-IT"/>
        </w:rPr>
        <w:drawing>
          <wp:inline distT="0" distB="0" distL="0" distR="0" wp14:anchorId="5C9D5345" wp14:editId="0385C193">
            <wp:extent cx="6858000" cy="3190240"/>
            <wp:effectExtent l="38100" t="38100" r="38100" b="2921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190240"/>
                    </a:xfrm>
                    <a:prstGeom prst="rect">
                      <a:avLst/>
                    </a:prstGeom>
                    <a:ln w="38100" cap="sq">
                      <a:solidFill>
                        <a:schemeClr val="accent1"/>
                      </a:solidFill>
                      <a:prstDash val="solid"/>
                      <a:miter lim="800000"/>
                    </a:ln>
                    <a:effectLst/>
                  </pic:spPr>
                </pic:pic>
              </a:graphicData>
            </a:graphic>
          </wp:inline>
        </w:drawing>
      </w:r>
    </w:p>
    <w:p w14:paraId="5C999040" w14:textId="77777777" w:rsidR="007E0524" w:rsidRDefault="00827F5B" w:rsidP="006A55C1">
      <w:pPr>
        <w:rPr>
          <w:lang w:val="it-IT"/>
        </w:rPr>
      </w:pPr>
      <w:r w:rsidRPr="007A1140">
        <w:rPr>
          <w:rFonts w:ascii="Verdana" w:hAnsi="Verdana"/>
          <w:b/>
          <w:color w:val="000000"/>
          <w:lang w:val="it-IT"/>
        </w:rPr>
        <w:t xml:space="preserve">ETFS Sugar </w:t>
      </w:r>
      <w:r w:rsidR="007A1140" w:rsidRPr="007A1140">
        <w:rPr>
          <w:rFonts w:ascii="Verdana" w:hAnsi="Verdana"/>
          <w:b/>
          <w:color w:val="000000"/>
          <w:lang w:val="it-IT"/>
        </w:rPr>
        <w:t>GB00B15KY658</w:t>
      </w:r>
      <w:r w:rsidR="006A55C1" w:rsidRPr="007A1140">
        <w:rPr>
          <w:b/>
          <w:lang w:val="it-IT"/>
        </w:rPr>
        <w:t>:</w:t>
      </w:r>
      <w:r w:rsidR="006A55C1" w:rsidRPr="00981C90">
        <w:rPr>
          <w:lang w:val="it-IT"/>
        </w:rPr>
        <w:t xml:space="preserve"> </w:t>
      </w:r>
      <w:r w:rsidR="007A1140">
        <w:rPr>
          <w:lang w:val="it-IT"/>
        </w:rPr>
        <w:t xml:space="preserve">abbiamo diffusamente discusso di questo </w:t>
      </w:r>
      <w:proofErr w:type="spellStart"/>
      <w:r w:rsidR="007A1140">
        <w:rPr>
          <w:lang w:val="it-IT"/>
        </w:rPr>
        <w:t>etf</w:t>
      </w:r>
      <w:proofErr w:type="spellEnd"/>
      <w:r w:rsidR="007A1140">
        <w:rPr>
          <w:lang w:val="it-IT"/>
        </w:rPr>
        <w:t xml:space="preserve"> sullo zucchero</w:t>
      </w:r>
      <w:r w:rsidR="006A55C1">
        <w:rPr>
          <w:lang w:val="it-IT"/>
        </w:rPr>
        <w:t>.</w:t>
      </w:r>
      <w:r w:rsidR="008516C1">
        <w:rPr>
          <w:lang w:val="it-IT"/>
        </w:rPr>
        <w:t xml:space="preserve"> Nel grafico i potenziali punti di approdo del titolo.</w:t>
      </w:r>
    </w:p>
    <w:p w14:paraId="4F3AAED9" w14:textId="77777777" w:rsidR="007E0524" w:rsidRDefault="007E0524" w:rsidP="006A55C1">
      <w:pPr>
        <w:rPr>
          <w:lang w:val="it-IT"/>
        </w:rPr>
      </w:pPr>
    </w:p>
    <w:p w14:paraId="11E487BA" w14:textId="77777777" w:rsidR="007E0524" w:rsidRDefault="007E0524" w:rsidP="006A55C1">
      <w:pPr>
        <w:rPr>
          <w:lang w:val="it-IT"/>
        </w:rPr>
      </w:pPr>
    </w:p>
    <w:p w14:paraId="7BCE02FE" w14:textId="77777777" w:rsidR="007E0524" w:rsidRDefault="007E0524" w:rsidP="006A55C1">
      <w:pPr>
        <w:rPr>
          <w:lang w:val="it-IT"/>
        </w:rPr>
      </w:pPr>
    </w:p>
    <w:p w14:paraId="5C033388" w14:textId="77777777" w:rsidR="007E0524" w:rsidRDefault="007E0524" w:rsidP="006A55C1">
      <w:pPr>
        <w:rPr>
          <w:lang w:val="it-IT"/>
        </w:rPr>
      </w:pPr>
    </w:p>
    <w:p w14:paraId="0D8A9742" w14:textId="17EAB2B9" w:rsidR="007E0524" w:rsidRDefault="007E0524" w:rsidP="006A55C1">
      <w:pPr>
        <w:rPr>
          <w:lang w:val="it-IT"/>
        </w:rPr>
      </w:pPr>
      <w:r>
        <w:rPr>
          <w:noProof/>
          <w:lang w:val="it-IT" w:eastAsia="it-IT"/>
        </w:rPr>
        <w:lastRenderedPageBreak/>
        <w:drawing>
          <wp:inline distT="0" distB="0" distL="0" distR="0" wp14:anchorId="21D71F87" wp14:editId="6E91821C">
            <wp:extent cx="6858000" cy="3190240"/>
            <wp:effectExtent l="0" t="0" r="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190240"/>
                    </a:xfrm>
                    <a:prstGeom prst="rect">
                      <a:avLst/>
                    </a:prstGeom>
                  </pic:spPr>
                </pic:pic>
              </a:graphicData>
            </a:graphic>
          </wp:inline>
        </w:drawing>
      </w:r>
    </w:p>
    <w:p w14:paraId="66980972" w14:textId="7591928B" w:rsidR="007E0524" w:rsidRPr="00BB4C05" w:rsidRDefault="00BB4C05" w:rsidP="007E0524">
      <w:pPr>
        <w:rPr>
          <w:lang w:val="it-IT"/>
        </w:rPr>
      </w:pPr>
      <w:proofErr w:type="spellStart"/>
      <w:r w:rsidRPr="00BB4C05">
        <w:rPr>
          <w:rFonts w:ascii="Verdana" w:hAnsi="Verdana"/>
          <w:b/>
          <w:color w:val="000000"/>
          <w:lang w:val="it-IT"/>
        </w:rPr>
        <w:t>Lyxor</w:t>
      </w:r>
      <w:proofErr w:type="spellEnd"/>
      <w:r w:rsidRPr="00BB4C05">
        <w:rPr>
          <w:rFonts w:ascii="Verdana" w:hAnsi="Verdana"/>
          <w:b/>
          <w:color w:val="000000"/>
          <w:lang w:val="it-IT"/>
        </w:rPr>
        <w:t xml:space="preserve"> China Enterprise (HSCEI) UCITS ETF – </w:t>
      </w:r>
      <w:proofErr w:type="spellStart"/>
      <w:r w:rsidRPr="00BB4C05">
        <w:rPr>
          <w:rFonts w:ascii="Verdana" w:hAnsi="Verdana"/>
          <w:b/>
          <w:color w:val="000000"/>
          <w:lang w:val="it-IT"/>
        </w:rPr>
        <w:t>Acc</w:t>
      </w:r>
      <w:proofErr w:type="spellEnd"/>
      <w:r w:rsidRPr="00BB4C05">
        <w:rPr>
          <w:rFonts w:ascii="Verdana" w:hAnsi="Verdana"/>
          <w:b/>
          <w:color w:val="000000"/>
          <w:lang w:val="it-IT"/>
        </w:rPr>
        <w:t xml:space="preserve"> FR0010204081</w:t>
      </w:r>
      <w:r w:rsidR="007E0524" w:rsidRPr="00BB4C05">
        <w:rPr>
          <w:b/>
          <w:lang w:val="it-IT"/>
        </w:rPr>
        <w:t>:</w:t>
      </w:r>
      <w:r w:rsidR="007E0524" w:rsidRPr="00BB4C05">
        <w:rPr>
          <w:lang w:val="it-IT"/>
        </w:rPr>
        <w:t xml:space="preserve"> </w:t>
      </w:r>
      <w:r w:rsidRPr="00BB4C05">
        <w:rPr>
          <w:lang w:val="it-IT"/>
        </w:rPr>
        <w:t>titolo o</w:t>
      </w:r>
      <w:r>
        <w:rPr>
          <w:lang w:val="it-IT"/>
        </w:rPr>
        <w:t>vviamente ancora in fase negativa come rappresentato anche dal suo indice.</w:t>
      </w:r>
      <w:r w:rsidR="00524E27">
        <w:rPr>
          <w:lang w:val="it-IT"/>
        </w:rPr>
        <w:t xml:space="preserve"> Un ingresso corretto prevede l’attesa del </w:t>
      </w:r>
      <w:r w:rsidR="00E75574">
        <w:rPr>
          <w:lang w:val="it-IT"/>
        </w:rPr>
        <w:t>T</w:t>
      </w:r>
      <w:r w:rsidR="00524E27">
        <w:rPr>
          <w:lang w:val="it-IT"/>
        </w:rPr>
        <w:t>rendycator verde. Un ingresso speculativo basato sul</w:t>
      </w:r>
      <w:r w:rsidR="00E75574">
        <w:rPr>
          <w:lang w:val="it-IT"/>
        </w:rPr>
        <w:t xml:space="preserve">l’analisi condotta sull’indice di riferimento può essere effettuata </w:t>
      </w:r>
      <w:r w:rsidR="00CC4140">
        <w:rPr>
          <w:lang w:val="it-IT"/>
        </w:rPr>
        <w:t xml:space="preserve">mantenendo un rigoroso rispetto di stop </w:t>
      </w:r>
      <w:r w:rsidR="00536D3D">
        <w:rPr>
          <w:lang w:val="it-IT"/>
        </w:rPr>
        <w:t>in caso di prosecuzione ribassista</w:t>
      </w:r>
      <w:r w:rsidR="00CC4140">
        <w:rPr>
          <w:lang w:val="it-IT"/>
        </w:rPr>
        <w:t>.</w:t>
      </w:r>
    </w:p>
    <w:p w14:paraId="28AEAE31" w14:textId="01DCC552" w:rsidR="006A55C1" w:rsidRPr="00BB4C05" w:rsidRDefault="006A55C1" w:rsidP="006A55C1">
      <w:pPr>
        <w:rPr>
          <w:lang w:val="it-IT"/>
        </w:rPr>
      </w:pPr>
    </w:p>
    <w:p w14:paraId="5168D402" w14:textId="2CCB31E5" w:rsidR="0041132C" w:rsidRPr="00BB4C05" w:rsidRDefault="0041132C" w:rsidP="006A2600">
      <w:pPr>
        <w:rPr>
          <w:lang w:val="it-IT"/>
        </w:rPr>
      </w:pPr>
    </w:p>
    <w:p w14:paraId="0A45EE25" w14:textId="37CDADA6" w:rsidR="00B16653" w:rsidRPr="00BB4C05" w:rsidRDefault="00B16653" w:rsidP="006A2600">
      <w:pPr>
        <w:rPr>
          <w:lang w:val="it-IT"/>
        </w:rPr>
      </w:pPr>
    </w:p>
    <w:p w14:paraId="688B9996" w14:textId="4E8FF8FE" w:rsidR="00B16653" w:rsidRPr="00BB4C05" w:rsidRDefault="00B16653" w:rsidP="006A2600">
      <w:pPr>
        <w:rPr>
          <w:lang w:val="it-IT"/>
        </w:rPr>
      </w:pPr>
    </w:p>
    <w:p w14:paraId="044FF887" w14:textId="0AFDF4C4" w:rsidR="00B16653" w:rsidRPr="00BB4C05" w:rsidRDefault="00B16653" w:rsidP="006A2600">
      <w:pPr>
        <w:rPr>
          <w:lang w:val="it-IT"/>
        </w:rPr>
      </w:pPr>
    </w:p>
    <w:p w14:paraId="4BA3ACA3" w14:textId="6122D436" w:rsidR="00B16653" w:rsidRPr="00BB4C05" w:rsidRDefault="00B16653" w:rsidP="006A2600">
      <w:pPr>
        <w:rPr>
          <w:lang w:val="it-IT"/>
        </w:rPr>
      </w:pPr>
    </w:p>
    <w:p w14:paraId="10340425" w14:textId="368FC1D4" w:rsidR="00B16653" w:rsidRPr="00BB4C05" w:rsidRDefault="00B16653" w:rsidP="006A2600">
      <w:pPr>
        <w:rPr>
          <w:lang w:val="it-IT"/>
        </w:rPr>
      </w:pPr>
    </w:p>
    <w:p w14:paraId="440BB94F" w14:textId="10D0D6A1" w:rsidR="00B16653" w:rsidRPr="00BB4C05" w:rsidRDefault="00B16653" w:rsidP="006A2600">
      <w:pPr>
        <w:rPr>
          <w:lang w:val="it-IT"/>
        </w:rPr>
      </w:pPr>
    </w:p>
    <w:p w14:paraId="36C6AA8B" w14:textId="7E8957FB" w:rsidR="00B16653" w:rsidRPr="00BB4C05" w:rsidRDefault="00B16653" w:rsidP="006A2600">
      <w:pPr>
        <w:rPr>
          <w:lang w:val="it-IT"/>
        </w:rPr>
      </w:pPr>
    </w:p>
    <w:p w14:paraId="76012EF1" w14:textId="2672D002" w:rsidR="00B16653" w:rsidRPr="00BB4C05" w:rsidRDefault="00B16653" w:rsidP="006A2600">
      <w:pPr>
        <w:rPr>
          <w:lang w:val="it-IT"/>
        </w:rPr>
      </w:pPr>
    </w:p>
    <w:p w14:paraId="1DA2AB54" w14:textId="04937DC0" w:rsidR="00B16653" w:rsidRPr="00BB4C05" w:rsidRDefault="00B16653" w:rsidP="006A2600">
      <w:pPr>
        <w:rPr>
          <w:lang w:val="it-IT"/>
        </w:rPr>
      </w:pPr>
    </w:p>
    <w:p w14:paraId="294BE620" w14:textId="0C8AA61E" w:rsidR="00B16653" w:rsidRPr="00BB4C05" w:rsidRDefault="00B16653" w:rsidP="006A2600">
      <w:pPr>
        <w:rPr>
          <w:lang w:val="it-IT"/>
        </w:rPr>
      </w:pPr>
    </w:p>
    <w:p w14:paraId="3E1383D2" w14:textId="77777777" w:rsidR="000E5100" w:rsidRPr="00BB4C05" w:rsidRDefault="000E5100" w:rsidP="006A2600">
      <w:pPr>
        <w:rPr>
          <w:lang w:val="it-IT"/>
        </w:rPr>
      </w:pPr>
    </w:p>
    <w:p w14:paraId="1CED5715" w14:textId="5832717B" w:rsidR="00FB57BB" w:rsidRPr="00BB4C05" w:rsidRDefault="00FB57BB" w:rsidP="0019149B">
      <w:pPr>
        <w:pStyle w:val="Titolo"/>
        <w:rPr>
          <w:sz w:val="28"/>
          <w:szCs w:val="28"/>
          <w:lang w:val="it-IT"/>
        </w:rPr>
      </w:pPr>
    </w:p>
    <w:p w14:paraId="22386602" w14:textId="68AE2AE6" w:rsidR="00FB57BB" w:rsidRPr="00BB4C05" w:rsidRDefault="00FB57BB" w:rsidP="0019149B">
      <w:pPr>
        <w:pStyle w:val="Titolo"/>
        <w:rPr>
          <w:sz w:val="28"/>
          <w:szCs w:val="28"/>
          <w:lang w:val="it-IT"/>
        </w:rPr>
      </w:pPr>
    </w:p>
    <w:p w14:paraId="7CB0A107" w14:textId="1F1E83D4" w:rsidR="00FB57BB" w:rsidRPr="00BB4C05" w:rsidRDefault="00FB57BB" w:rsidP="0019149B">
      <w:pPr>
        <w:pStyle w:val="Titolo"/>
        <w:rPr>
          <w:sz w:val="28"/>
          <w:szCs w:val="28"/>
          <w:lang w:val="it-IT"/>
        </w:rPr>
      </w:pPr>
    </w:p>
    <w:p w14:paraId="70B42046" w14:textId="4947097A" w:rsidR="00FB57BB" w:rsidRPr="00BB4C05" w:rsidRDefault="00FB57BB" w:rsidP="0019149B">
      <w:pPr>
        <w:pStyle w:val="Titolo"/>
        <w:rPr>
          <w:sz w:val="28"/>
          <w:szCs w:val="28"/>
          <w:lang w:val="it-IT"/>
        </w:rPr>
      </w:pPr>
    </w:p>
    <w:p w14:paraId="45436476" w14:textId="4571E639" w:rsidR="00FB57BB" w:rsidRPr="00BB4C05" w:rsidRDefault="00FB57BB" w:rsidP="0019149B">
      <w:pPr>
        <w:pStyle w:val="Titolo"/>
        <w:rPr>
          <w:sz w:val="28"/>
          <w:szCs w:val="28"/>
          <w:lang w:val="it-IT"/>
        </w:rPr>
      </w:pPr>
    </w:p>
    <w:p w14:paraId="3D99ED00" w14:textId="5526001A" w:rsidR="00FB57BB" w:rsidRPr="00BB4C05" w:rsidRDefault="00FB57BB" w:rsidP="0019149B">
      <w:pPr>
        <w:pStyle w:val="Titolo"/>
        <w:rPr>
          <w:sz w:val="28"/>
          <w:szCs w:val="28"/>
          <w:lang w:val="it-IT"/>
        </w:rPr>
      </w:pPr>
    </w:p>
    <w:p w14:paraId="05EF1437" w14:textId="3FE7341C" w:rsidR="0045190C" w:rsidRPr="00BB4C05" w:rsidRDefault="0045190C" w:rsidP="0019149B">
      <w:pPr>
        <w:pStyle w:val="Titolo"/>
        <w:rPr>
          <w:sz w:val="28"/>
          <w:szCs w:val="28"/>
          <w:lang w:val="it-IT"/>
        </w:rPr>
      </w:pPr>
    </w:p>
    <w:p w14:paraId="009B4EF3" w14:textId="1D6DF3E9" w:rsidR="009F325D" w:rsidRPr="009F325D" w:rsidRDefault="009F325D" w:rsidP="0019149B">
      <w:pPr>
        <w:pStyle w:val="Titolo"/>
        <w:rPr>
          <w:lang w:val="it-IT"/>
        </w:rPr>
      </w:pPr>
      <w:r w:rsidRPr="009F325D">
        <w:rPr>
          <w:lang w:val="it-IT"/>
        </w:rPr>
        <w:t>FORZA RELATIVA</w:t>
      </w:r>
    </w:p>
    <w:p w14:paraId="009B4EF4" w14:textId="4DB2DD9C" w:rsidR="0019149B" w:rsidRPr="004D69BF" w:rsidRDefault="00DF04C7" w:rsidP="002F1D65">
      <w:pPr>
        <w:jc w:val="center"/>
        <w:rPr>
          <w:noProof/>
        </w:rPr>
      </w:pPr>
      <w:r w:rsidRPr="001B1501">
        <w:rPr>
          <w:noProof/>
          <w:lang w:val="it-IT"/>
        </w:rPr>
        <w:t xml:space="preserve"> </w:t>
      </w:r>
      <w:r w:rsidR="004D69BF">
        <w:rPr>
          <w:noProof/>
          <w:lang w:val="it-IT" w:eastAsia="it-IT"/>
        </w:rPr>
        <w:drawing>
          <wp:inline distT="0" distB="0" distL="0" distR="0" wp14:anchorId="61EC9B09" wp14:editId="567D8B83">
            <wp:extent cx="6858000" cy="3482340"/>
            <wp:effectExtent l="0" t="0" r="0" b="381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482340"/>
                    </a:xfrm>
                    <a:prstGeom prst="rect">
                      <a:avLst/>
                    </a:prstGeom>
                  </pic:spPr>
                </pic:pic>
              </a:graphicData>
            </a:graphic>
          </wp:inline>
        </w:drawing>
      </w:r>
    </w:p>
    <w:p w14:paraId="5C5915E7" w14:textId="48EE1A81" w:rsidR="00065349" w:rsidRPr="00981C90" w:rsidRDefault="00DF04C7" w:rsidP="008D0198">
      <w:pPr>
        <w:rPr>
          <w:lang w:val="it-IT"/>
        </w:rPr>
      </w:pPr>
      <w:r>
        <w:rPr>
          <w:b/>
          <w:lang w:val="it-IT"/>
        </w:rPr>
        <w:t>Forza Relativa Mondo</w:t>
      </w:r>
      <w:r w:rsidRPr="00711C25">
        <w:rPr>
          <w:b/>
          <w:lang w:val="it-IT"/>
        </w:rPr>
        <w:t>:</w:t>
      </w:r>
      <w:r w:rsidRPr="00981C90">
        <w:rPr>
          <w:lang w:val="it-IT"/>
        </w:rPr>
        <w:t xml:space="preserve"> </w:t>
      </w:r>
      <w:r w:rsidR="003D770D">
        <w:rPr>
          <w:lang w:val="it-IT"/>
        </w:rPr>
        <w:t>a livello di forza relativa l’analisi restituisce una buona forza del Brasile</w:t>
      </w:r>
      <w:r w:rsidR="00134F9E">
        <w:rPr>
          <w:lang w:val="it-IT"/>
        </w:rPr>
        <w:t xml:space="preserve">. Da notare nell’arco dei mesi un progressivo innalzamento di forza relativa per Cina e </w:t>
      </w:r>
      <w:proofErr w:type="spellStart"/>
      <w:r w:rsidR="00134F9E">
        <w:rPr>
          <w:lang w:val="it-IT"/>
        </w:rPr>
        <w:t>Ftsemib</w:t>
      </w:r>
      <w:proofErr w:type="spellEnd"/>
      <w:r w:rsidR="00A81677">
        <w:rPr>
          <w:lang w:val="it-IT"/>
        </w:rPr>
        <w:t xml:space="preserve"> sintomo di rallentamento del ritmo di discesa.</w:t>
      </w:r>
    </w:p>
    <w:p w14:paraId="009B4EF5" w14:textId="78FB267F" w:rsidR="009F325D" w:rsidRDefault="000E2012" w:rsidP="009F325D">
      <w:pPr>
        <w:jc w:val="center"/>
        <w:rPr>
          <w:rFonts w:ascii="Calibri" w:eastAsiaTheme="majorEastAsia" w:hAnsi="Calibri" w:cs="Calibri"/>
          <w:color w:val="0066FF"/>
          <w:sz w:val="56"/>
          <w:szCs w:val="56"/>
          <w:lang w:val="it-IT"/>
        </w:rPr>
      </w:pPr>
      <w:r>
        <w:rPr>
          <w:noProof/>
          <w:lang w:val="it-IT" w:eastAsia="it-IT"/>
        </w:rPr>
        <w:drawing>
          <wp:inline distT="0" distB="0" distL="0" distR="0" wp14:anchorId="5600C7E0" wp14:editId="52FC4EBB">
            <wp:extent cx="6858000" cy="2242820"/>
            <wp:effectExtent l="0" t="0" r="0" b="508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242820"/>
                    </a:xfrm>
                    <a:prstGeom prst="rect">
                      <a:avLst/>
                    </a:prstGeom>
                  </pic:spPr>
                </pic:pic>
              </a:graphicData>
            </a:graphic>
          </wp:inline>
        </w:drawing>
      </w:r>
    </w:p>
    <w:p w14:paraId="08A06B48" w14:textId="768E1DE4" w:rsidR="00C16482" w:rsidRDefault="00DF04C7" w:rsidP="00DF04C7">
      <w:pPr>
        <w:rPr>
          <w:rFonts w:ascii="Georgia" w:hAnsi="Georgia"/>
          <w:color w:val="404040"/>
          <w:lang w:val="it-IT"/>
        </w:rPr>
      </w:pPr>
      <w:r>
        <w:rPr>
          <w:b/>
          <w:lang w:val="it-IT"/>
        </w:rPr>
        <w:t>Forza Relativa SETTORIALE europeo</w:t>
      </w:r>
      <w:r w:rsidRPr="00711C25">
        <w:rPr>
          <w:b/>
          <w:lang w:val="it-IT"/>
        </w:rPr>
        <w:t>:</w:t>
      </w:r>
      <w:r w:rsidRPr="00981C90">
        <w:rPr>
          <w:lang w:val="it-IT"/>
        </w:rPr>
        <w:t xml:space="preserve"> </w:t>
      </w:r>
      <w:r w:rsidR="00861C9F">
        <w:rPr>
          <w:lang w:val="it-IT"/>
        </w:rPr>
        <w:t>continua ormai da molti mesi il buon momento del</w:t>
      </w:r>
      <w:r w:rsidR="00BB1A89">
        <w:rPr>
          <w:lang w:val="it-IT"/>
        </w:rPr>
        <w:t>l’</w:t>
      </w:r>
      <w:proofErr w:type="spellStart"/>
      <w:r w:rsidR="00BB1A89">
        <w:rPr>
          <w:lang w:val="it-IT"/>
        </w:rPr>
        <w:t>Healtcare</w:t>
      </w:r>
      <w:proofErr w:type="spellEnd"/>
      <w:r w:rsidR="00BB1A89">
        <w:rPr>
          <w:lang w:val="it-IT"/>
        </w:rPr>
        <w:t xml:space="preserve">, </w:t>
      </w:r>
      <w:r w:rsidR="00CA7D63">
        <w:rPr>
          <w:lang w:val="it-IT"/>
        </w:rPr>
        <w:t xml:space="preserve">ritornano gli ordinativi </w:t>
      </w:r>
      <w:r w:rsidR="00861C9F">
        <w:rPr>
          <w:lang w:val="it-IT"/>
        </w:rPr>
        <w:t xml:space="preserve">sul </w:t>
      </w:r>
      <w:proofErr w:type="spellStart"/>
      <w:r w:rsidR="00861C9F">
        <w:rPr>
          <w:lang w:val="it-IT"/>
        </w:rPr>
        <w:t>food&amp;beverage</w:t>
      </w:r>
      <w:proofErr w:type="spellEnd"/>
      <w:r w:rsidR="00861C9F">
        <w:rPr>
          <w:lang w:val="it-IT"/>
        </w:rPr>
        <w:t xml:space="preserve"> tradizionalmente forti nel periodo natalizio</w:t>
      </w:r>
      <w:r w:rsidR="003915BF">
        <w:rPr>
          <w:rFonts w:ascii="Georgia" w:hAnsi="Georgia"/>
          <w:color w:val="404040"/>
          <w:lang w:val="it-IT"/>
        </w:rPr>
        <w:t>.</w:t>
      </w:r>
      <w:r w:rsidR="00516BB0">
        <w:rPr>
          <w:rFonts w:ascii="Georgia" w:hAnsi="Georgia"/>
          <w:color w:val="404040"/>
          <w:lang w:val="it-IT"/>
        </w:rPr>
        <w:t xml:space="preserve"> </w:t>
      </w:r>
      <w:r w:rsidR="00C876D9">
        <w:rPr>
          <w:rFonts w:ascii="Georgia" w:hAnsi="Georgia"/>
          <w:color w:val="404040"/>
          <w:lang w:val="it-IT"/>
        </w:rPr>
        <w:t>Sorprendente il settore delle assicurazioni al primo posto ormai stabilmente da due mesi.</w:t>
      </w:r>
    </w:p>
    <w:p w14:paraId="20800C69" w14:textId="6B68DEF3" w:rsidR="0059690B" w:rsidRDefault="0059690B" w:rsidP="00DF04C7">
      <w:pPr>
        <w:rPr>
          <w:rFonts w:ascii="Georgia" w:hAnsi="Georgia"/>
          <w:color w:val="404040"/>
          <w:lang w:val="it-IT"/>
        </w:rPr>
      </w:pPr>
    </w:p>
    <w:p w14:paraId="313E0312" w14:textId="33088782" w:rsidR="0059690B" w:rsidRDefault="0059690B" w:rsidP="00DF04C7">
      <w:pPr>
        <w:rPr>
          <w:rFonts w:ascii="Georgia" w:hAnsi="Georgia"/>
          <w:color w:val="404040"/>
          <w:lang w:val="it-IT"/>
        </w:rPr>
      </w:pPr>
    </w:p>
    <w:p w14:paraId="69434204" w14:textId="544891B5" w:rsidR="0059690B" w:rsidRDefault="0059690B" w:rsidP="00DF04C7">
      <w:pPr>
        <w:rPr>
          <w:rFonts w:ascii="Georgia" w:hAnsi="Georgia"/>
          <w:color w:val="404040"/>
          <w:lang w:val="it-IT"/>
        </w:rPr>
      </w:pPr>
    </w:p>
    <w:p w14:paraId="476ADA49" w14:textId="6944F769" w:rsidR="00860E59" w:rsidRDefault="00860E59" w:rsidP="00DF04C7">
      <w:pPr>
        <w:rPr>
          <w:lang w:val="it-IT"/>
        </w:rPr>
      </w:pPr>
    </w:p>
    <w:p w14:paraId="63053777" w14:textId="64A7D8C8" w:rsidR="00860E59" w:rsidRPr="00257983" w:rsidRDefault="00860E59" w:rsidP="00860E59">
      <w:pPr>
        <w:pStyle w:val="Titolo"/>
        <w:rPr>
          <w:lang w:val="it-IT"/>
        </w:rPr>
      </w:pPr>
      <w:r w:rsidRPr="00257983">
        <w:rPr>
          <w:lang w:val="it-IT"/>
        </w:rPr>
        <w:t>FEAR AND GREED IND</w:t>
      </w:r>
      <w:r w:rsidR="002026AD">
        <w:rPr>
          <w:lang w:val="it-IT"/>
        </w:rPr>
        <w:t>E</w:t>
      </w:r>
      <w:r w:rsidRPr="00257983">
        <w:rPr>
          <w:lang w:val="it-IT"/>
        </w:rPr>
        <w:t>X</w:t>
      </w:r>
    </w:p>
    <w:p w14:paraId="15D46FA2" w14:textId="11CB5054" w:rsidR="00860E59" w:rsidRPr="00257983" w:rsidRDefault="00860E59" w:rsidP="00DF04C7">
      <w:pPr>
        <w:rPr>
          <w:lang w:val="it-IT"/>
        </w:rPr>
      </w:pPr>
    </w:p>
    <w:p w14:paraId="3FD55C04" w14:textId="6288F1FC" w:rsidR="00860E59" w:rsidRDefault="00860E59" w:rsidP="00DF04C7">
      <w:pPr>
        <w:rPr>
          <w:lang w:val="it-IT"/>
        </w:rPr>
      </w:pPr>
      <w:r w:rsidRPr="00860E59">
        <w:rPr>
          <w:lang w:val="it-IT"/>
        </w:rPr>
        <w:t>Non è un nostro i</w:t>
      </w:r>
      <w:r>
        <w:rPr>
          <w:lang w:val="it-IT"/>
        </w:rPr>
        <w:t xml:space="preserve">ndicatore, </w:t>
      </w:r>
      <w:r w:rsidR="00E447FA">
        <w:rPr>
          <w:lang w:val="it-IT"/>
        </w:rPr>
        <w:t xml:space="preserve">ma lo pubblichiamo come indice di sentiment del mercato statunitense: </w:t>
      </w:r>
      <w:r>
        <w:rPr>
          <w:lang w:val="it-IT"/>
        </w:rPr>
        <w:t>potete trovare</w:t>
      </w:r>
      <w:r w:rsidR="007E765F">
        <w:rPr>
          <w:lang w:val="it-IT"/>
        </w:rPr>
        <w:t xml:space="preserve"> una esaustiva spiegazione a questo link: </w:t>
      </w:r>
      <w:hyperlink r:id="rId34" w:history="1">
        <w:r w:rsidR="00FC1007" w:rsidRPr="00602D8C">
          <w:rPr>
            <w:rStyle w:val="Collegamentoipertestuale"/>
            <w:lang w:val="it-IT"/>
          </w:rPr>
          <w:t>http://money.cnn.com/data/fear-and-greed/</w:t>
        </w:r>
      </w:hyperlink>
      <w:r w:rsidR="00FC1007">
        <w:rPr>
          <w:lang w:val="it-IT"/>
        </w:rPr>
        <w:t xml:space="preserve"> </w:t>
      </w:r>
    </w:p>
    <w:p w14:paraId="744E000C" w14:textId="654BCE9C" w:rsidR="00906097" w:rsidRPr="00860E59" w:rsidRDefault="00906097" w:rsidP="00DF04C7">
      <w:pPr>
        <w:rPr>
          <w:lang w:val="it-IT"/>
        </w:rPr>
      </w:pPr>
      <w:r>
        <w:rPr>
          <w:lang w:val="it-IT"/>
        </w:rPr>
        <w:t>Il sentiment sul mercato è sempre più negativo arrivando a toccare i minimi storici.</w:t>
      </w:r>
    </w:p>
    <w:p w14:paraId="566EB007" w14:textId="62D76F3B" w:rsidR="00860E59" w:rsidRDefault="00E77B04" w:rsidP="00860E59">
      <w:pPr>
        <w:jc w:val="center"/>
        <w:rPr>
          <w:lang w:val="it-IT"/>
        </w:rPr>
      </w:pPr>
      <w:r>
        <w:rPr>
          <w:noProof/>
          <w:lang w:val="it-IT" w:eastAsia="it-IT"/>
        </w:rPr>
        <w:drawing>
          <wp:inline distT="0" distB="0" distL="0" distR="0" wp14:anchorId="7DD32876" wp14:editId="28C424A4">
            <wp:extent cx="6285714" cy="3133333"/>
            <wp:effectExtent l="0" t="0" r="127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5714" cy="3133333"/>
                    </a:xfrm>
                    <a:prstGeom prst="rect">
                      <a:avLst/>
                    </a:prstGeom>
                  </pic:spPr>
                </pic:pic>
              </a:graphicData>
            </a:graphic>
          </wp:inline>
        </w:drawing>
      </w:r>
    </w:p>
    <w:p w14:paraId="20D1B6BE" w14:textId="165C5852" w:rsidR="00955E51" w:rsidRDefault="00955E51" w:rsidP="009F325D">
      <w:pPr>
        <w:jc w:val="center"/>
        <w:rPr>
          <w:noProof/>
          <w:lang w:val="it-IT"/>
        </w:rPr>
      </w:pPr>
    </w:p>
    <w:p w14:paraId="6FB5018D" w14:textId="0E096E2B" w:rsidR="00856A47" w:rsidRDefault="00856A47" w:rsidP="009F325D">
      <w:pPr>
        <w:jc w:val="center"/>
        <w:rPr>
          <w:noProof/>
          <w:lang w:val="it-IT"/>
        </w:rPr>
      </w:pPr>
    </w:p>
    <w:p w14:paraId="1AD4297C" w14:textId="584846EC" w:rsidR="00856A47" w:rsidRDefault="00856A47" w:rsidP="009F325D">
      <w:pPr>
        <w:jc w:val="center"/>
        <w:rPr>
          <w:noProof/>
          <w:lang w:val="it-IT"/>
        </w:rPr>
      </w:pPr>
    </w:p>
    <w:p w14:paraId="67D5B382" w14:textId="0C547206" w:rsidR="00856A47" w:rsidRDefault="00856A47" w:rsidP="009F325D">
      <w:pPr>
        <w:jc w:val="center"/>
        <w:rPr>
          <w:noProof/>
          <w:lang w:val="it-IT"/>
        </w:rPr>
      </w:pPr>
    </w:p>
    <w:p w14:paraId="1EA703F5" w14:textId="084F9531" w:rsidR="00856A47" w:rsidRDefault="00856A47" w:rsidP="009F325D">
      <w:pPr>
        <w:jc w:val="center"/>
        <w:rPr>
          <w:noProof/>
          <w:lang w:val="it-IT"/>
        </w:rPr>
      </w:pPr>
    </w:p>
    <w:p w14:paraId="701B1B57" w14:textId="2B7A0F1D" w:rsidR="00856A47" w:rsidRDefault="00856A47" w:rsidP="009F325D">
      <w:pPr>
        <w:jc w:val="center"/>
        <w:rPr>
          <w:noProof/>
          <w:lang w:val="it-IT"/>
        </w:rPr>
      </w:pPr>
    </w:p>
    <w:p w14:paraId="04A29053" w14:textId="6B8769E3" w:rsidR="00914699" w:rsidRDefault="00914699" w:rsidP="009F325D">
      <w:pPr>
        <w:jc w:val="center"/>
        <w:rPr>
          <w:noProof/>
          <w:lang w:val="it-IT"/>
        </w:rPr>
      </w:pPr>
    </w:p>
    <w:p w14:paraId="44F609F9" w14:textId="2DE96D80" w:rsidR="00914699" w:rsidRDefault="00914699" w:rsidP="009F325D">
      <w:pPr>
        <w:jc w:val="center"/>
        <w:rPr>
          <w:noProof/>
          <w:lang w:val="it-IT"/>
        </w:rPr>
      </w:pPr>
    </w:p>
    <w:p w14:paraId="6F1A8B62" w14:textId="68621E2B" w:rsidR="00914699" w:rsidRDefault="00914699" w:rsidP="009F325D">
      <w:pPr>
        <w:jc w:val="center"/>
        <w:rPr>
          <w:noProof/>
          <w:lang w:val="it-IT"/>
        </w:rPr>
      </w:pPr>
    </w:p>
    <w:p w14:paraId="172C434C" w14:textId="181E6EC3" w:rsidR="00914699" w:rsidRDefault="00914699" w:rsidP="009F325D">
      <w:pPr>
        <w:jc w:val="center"/>
        <w:rPr>
          <w:noProof/>
          <w:lang w:val="it-IT"/>
        </w:rPr>
      </w:pPr>
    </w:p>
    <w:p w14:paraId="628BF280" w14:textId="77777777" w:rsidR="00914699" w:rsidRDefault="00914699" w:rsidP="009F325D">
      <w:pPr>
        <w:jc w:val="center"/>
        <w:rPr>
          <w:noProof/>
          <w:lang w:val="it-IT"/>
        </w:rPr>
      </w:pPr>
    </w:p>
    <w:p w14:paraId="2BC87D24" w14:textId="45758E84" w:rsidR="00DE060A" w:rsidRDefault="00DE060A" w:rsidP="00914699">
      <w:pPr>
        <w:rPr>
          <w:noProof/>
          <w:lang w:val="it-IT"/>
        </w:rPr>
      </w:pPr>
    </w:p>
    <w:p w14:paraId="49E93FE2" w14:textId="1444AA74" w:rsidR="00DE060A" w:rsidRDefault="00DE060A" w:rsidP="00914699">
      <w:pPr>
        <w:rPr>
          <w:noProof/>
          <w:lang w:val="it-IT"/>
        </w:rPr>
      </w:pPr>
    </w:p>
    <w:p w14:paraId="1DCA287A" w14:textId="26F8FD3C" w:rsidR="00DE060A" w:rsidRPr="00FB6123" w:rsidRDefault="00FB6123" w:rsidP="00FB6123">
      <w:pPr>
        <w:jc w:val="center"/>
        <w:rPr>
          <w:b/>
          <w:noProof/>
          <w:color w:val="4472C4" w:themeColor="accent1"/>
          <w:lang w:val="it-IT"/>
        </w:rPr>
      </w:pPr>
      <w:r>
        <w:rPr>
          <w:b/>
          <w:noProof/>
          <w:color w:val="4472C4" w:themeColor="accent1"/>
          <w:lang w:val="it-IT"/>
        </w:rPr>
        <w:lastRenderedPageBreak/>
        <w:t>Per c</w:t>
      </w:r>
      <w:r w:rsidR="00DE060A" w:rsidRPr="00FB6123">
        <w:rPr>
          <w:b/>
          <w:noProof/>
          <w:color w:val="4472C4" w:themeColor="accent1"/>
          <w:lang w:val="it-IT"/>
        </w:rPr>
        <w:t>ontatta</w:t>
      </w:r>
      <w:r>
        <w:rPr>
          <w:b/>
          <w:noProof/>
          <w:color w:val="4472C4" w:themeColor="accent1"/>
          <w:lang w:val="it-IT"/>
        </w:rPr>
        <w:t>r</w:t>
      </w:r>
      <w:r w:rsidR="00DE060A" w:rsidRPr="00FB6123">
        <w:rPr>
          <w:b/>
          <w:noProof/>
          <w:color w:val="4472C4" w:themeColor="accent1"/>
          <w:lang w:val="it-IT"/>
        </w:rPr>
        <w:t>ci</w:t>
      </w:r>
    </w:p>
    <w:p w14:paraId="6F7F8C09" w14:textId="77777777" w:rsidR="00DE060A" w:rsidRPr="00FB6123" w:rsidRDefault="00DE060A" w:rsidP="00FB6123">
      <w:pPr>
        <w:jc w:val="center"/>
        <w:rPr>
          <w:b/>
          <w:noProof/>
          <w:lang w:val="it-IT"/>
        </w:rPr>
      </w:pPr>
      <w:r w:rsidRPr="00FB6123">
        <w:rPr>
          <w:b/>
          <w:noProof/>
          <w:lang w:val="it-IT"/>
        </w:rPr>
        <w:t>Independent Media s.r.l</w:t>
      </w:r>
    </w:p>
    <w:p w14:paraId="0B2C2C8F" w14:textId="77777777" w:rsidR="00DE060A" w:rsidRPr="00DE060A" w:rsidRDefault="00DE060A" w:rsidP="00FB6123">
      <w:pPr>
        <w:jc w:val="center"/>
        <w:rPr>
          <w:noProof/>
          <w:lang w:val="it-IT"/>
        </w:rPr>
      </w:pPr>
      <w:r w:rsidRPr="00DE060A">
        <w:rPr>
          <w:noProof/>
          <w:lang w:val="it-IT"/>
        </w:rPr>
        <w:t>Piazza di Campitelli 2 00186 ROMA P. IVA 07740680967</w:t>
      </w:r>
    </w:p>
    <w:p w14:paraId="38B62405" w14:textId="77777777" w:rsidR="00DE060A" w:rsidRPr="00DE060A" w:rsidRDefault="00DE060A" w:rsidP="00FB6123">
      <w:pPr>
        <w:jc w:val="center"/>
        <w:rPr>
          <w:noProof/>
          <w:lang w:val="it-IT"/>
        </w:rPr>
      </w:pPr>
      <w:r w:rsidRPr="00DE060A">
        <w:rPr>
          <w:noProof/>
          <w:lang w:val="it-IT"/>
        </w:rPr>
        <w:t>Rendimento Fondi è un supplemento de l’Indipendente di Borsa</w:t>
      </w:r>
    </w:p>
    <w:p w14:paraId="3E90A4E4" w14:textId="77777777" w:rsidR="00DE060A" w:rsidRPr="00DE060A" w:rsidRDefault="00DE060A" w:rsidP="00FB6123">
      <w:pPr>
        <w:jc w:val="center"/>
        <w:rPr>
          <w:noProof/>
          <w:lang w:val="it-IT"/>
        </w:rPr>
      </w:pPr>
      <w:r w:rsidRPr="00DE060A">
        <w:rPr>
          <w:noProof/>
          <w:lang w:val="it-IT"/>
        </w:rPr>
        <w:t>Indipendente di Borsa è un periodico di Informazione di Borsa autorizzazione Tribunale di Modena 2179 del 30/09/2013 Direttore responsabile Gabriele Bassanetti</w:t>
      </w:r>
    </w:p>
    <w:p w14:paraId="4E1286D5" w14:textId="77777777" w:rsidR="00DE060A" w:rsidRPr="00DE060A" w:rsidRDefault="00DE060A" w:rsidP="00FB6123">
      <w:pPr>
        <w:jc w:val="center"/>
        <w:rPr>
          <w:noProof/>
          <w:lang w:val="it-IT"/>
        </w:rPr>
      </w:pPr>
      <w:r w:rsidRPr="00DE060A">
        <w:rPr>
          <w:noProof/>
          <w:lang w:val="it-IT"/>
        </w:rPr>
        <w:t>AGCOM Registro Operatori Comunicazione n. iscrizione 25014 ISSN 2499-1406 che rispetta la Carta dei Doveri dell’Informazione Economica www.odg.it</w:t>
      </w:r>
    </w:p>
    <w:p w14:paraId="37CB8893" w14:textId="77777777" w:rsidR="00DE060A" w:rsidRPr="00DE060A" w:rsidRDefault="00DE060A" w:rsidP="00FB6123">
      <w:pPr>
        <w:jc w:val="center"/>
        <w:rPr>
          <w:noProof/>
          <w:lang w:val="it-IT"/>
        </w:rPr>
      </w:pPr>
    </w:p>
    <w:p w14:paraId="16433829" w14:textId="77777777" w:rsidR="00DE060A" w:rsidRPr="00DE060A" w:rsidRDefault="00DE060A" w:rsidP="00FB6123">
      <w:pPr>
        <w:jc w:val="center"/>
        <w:rPr>
          <w:noProof/>
        </w:rPr>
      </w:pPr>
      <w:r w:rsidRPr="00DE060A">
        <w:rPr>
          <w:noProof/>
        </w:rPr>
        <w:t>TEL:02 30316768</w:t>
      </w:r>
    </w:p>
    <w:p w14:paraId="2BCE3EAF" w14:textId="77777777" w:rsidR="00DE060A" w:rsidRPr="00DE060A" w:rsidRDefault="00DE060A" w:rsidP="00FB6123">
      <w:pPr>
        <w:jc w:val="center"/>
        <w:rPr>
          <w:noProof/>
        </w:rPr>
      </w:pPr>
      <w:r w:rsidRPr="00DE060A">
        <w:rPr>
          <w:noProof/>
        </w:rPr>
        <w:t>Mail: info@rendimentofondi.it</w:t>
      </w:r>
    </w:p>
    <w:p w14:paraId="294BE674" w14:textId="2247857C" w:rsidR="00DE060A" w:rsidRPr="00DE060A" w:rsidRDefault="00DE060A" w:rsidP="00FB6123">
      <w:pPr>
        <w:jc w:val="center"/>
        <w:rPr>
          <w:noProof/>
        </w:rPr>
      </w:pPr>
      <w:r w:rsidRPr="00DE060A">
        <w:rPr>
          <w:noProof/>
        </w:rPr>
        <w:t>sito: www.rendimentofondi.it</w:t>
      </w:r>
    </w:p>
    <w:sectPr w:rsidR="00DE060A" w:rsidRPr="00DE060A">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767E4"/>
    <w:multiLevelType w:val="hybridMultilevel"/>
    <w:tmpl w:val="C756CADA"/>
    <w:lvl w:ilvl="0" w:tplc="0410000F">
      <w:start w:val="1"/>
      <w:numFmt w:val="decimal"/>
      <w:lvlText w:val="%1."/>
      <w:lvlJc w:val="left"/>
      <w:pPr>
        <w:ind w:left="648" w:hanging="360"/>
      </w:pPr>
    </w:lvl>
    <w:lvl w:ilvl="1" w:tplc="04100019" w:tentative="1">
      <w:start w:val="1"/>
      <w:numFmt w:val="lowerLetter"/>
      <w:lvlText w:val="%2."/>
      <w:lvlJc w:val="left"/>
      <w:pPr>
        <w:ind w:left="1368" w:hanging="360"/>
      </w:pPr>
    </w:lvl>
    <w:lvl w:ilvl="2" w:tplc="0410001B" w:tentative="1">
      <w:start w:val="1"/>
      <w:numFmt w:val="lowerRoman"/>
      <w:lvlText w:val="%3."/>
      <w:lvlJc w:val="right"/>
      <w:pPr>
        <w:ind w:left="2088" w:hanging="180"/>
      </w:pPr>
    </w:lvl>
    <w:lvl w:ilvl="3" w:tplc="0410000F" w:tentative="1">
      <w:start w:val="1"/>
      <w:numFmt w:val="decimal"/>
      <w:lvlText w:val="%4."/>
      <w:lvlJc w:val="left"/>
      <w:pPr>
        <w:ind w:left="2808" w:hanging="360"/>
      </w:pPr>
    </w:lvl>
    <w:lvl w:ilvl="4" w:tplc="04100019" w:tentative="1">
      <w:start w:val="1"/>
      <w:numFmt w:val="lowerLetter"/>
      <w:lvlText w:val="%5."/>
      <w:lvlJc w:val="left"/>
      <w:pPr>
        <w:ind w:left="3528" w:hanging="360"/>
      </w:pPr>
    </w:lvl>
    <w:lvl w:ilvl="5" w:tplc="0410001B" w:tentative="1">
      <w:start w:val="1"/>
      <w:numFmt w:val="lowerRoman"/>
      <w:lvlText w:val="%6."/>
      <w:lvlJc w:val="right"/>
      <w:pPr>
        <w:ind w:left="4248" w:hanging="180"/>
      </w:pPr>
    </w:lvl>
    <w:lvl w:ilvl="6" w:tplc="0410000F" w:tentative="1">
      <w:start w:val="1"/>
      <w:numFmt w:val="decimal"/>
      <w:lvlText w:val="%7."/>
      <w:lvlJc w:val="left"/>
      <w:pPr>
        <w:ind w:left="4968" w:hanging="360"/>
      </w:pPr>
    </w:lvl>
    <w:lvl w:ilvl="7" w:tplc="04100019" w:tentative="1">
      <w:start w:val="1"/>
      <w:numFmt w:val="lowerLetter"/>
      <w:lvlText w:val="%8."/>
      <w:lvlJc w:val="left"/>
      <w:pPr>
        <w:ind w:left="5688" w:hanging="360"/>
      </w:pPr>
    </w:lvl>
    <w:lvl w:ilvl="8" w:tplc="0410001B" w:tentative="1">
      <w:start w:val="1"/>
      <w:numFmt w:val="lowerRoman"/>
      <w:lvlText w:val="%9."/>
      <w:lvlJc w:val="right"/>
      <w:pPr>
        <w:ind w:left="640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1CB"/>
    <w:rsid w:val="0000063A"/>
    <w:rsid w:val="000019BB"/>
    <w:rsid w:val="00003B98"/>
    <w:rsid w:val="0000633C"/>
    <w:rsid w:val="000071BF"/>
    <w:rsid w:val="00007C9D"/>
    <w:rsid w:val="00010C0F"/>
    <w:rsid w:val="000112A8"/>
    <w:rsid w:val="00011F96"/>
    <w:rsid w:val="000127C4"/>
    <w:rsid w:val="00013934"/>
    <w:rsid w:val="000142CE"/>
    <w:rsid w:val="00015023"/>
    <w:rsid w:val="00015707"/>
    <w:rsid w:val="0001741B"/>
    <w:rsid w:val="000175BC"/>
    <w:rsid w:val="00017E40"/>
    <w:rsid w:val="00020F11"/>
    <w:rsid w:val="000229FF"/>
    <w:rsid w:val="000248FC"/>
    <w:rsid w:val="00024B1D"/>
    <w:rsid w:val="00024E6B"/>
    <w:rsid w:val="00026948"/>
    <w:rsid w:val="00030B2E"/>
    <w:rsid w:val="00031A49"/>
    <w:rsid w:val="00032554"/>
    <w:rsid w:val="00032E65"/>
    <w:rsid w:val="00033126"/>
    <w:rsid w:val="000347A1"/>
    <w:rsid w:val="00035D6E"/>
    <w:rsid w:val="000378E5"/>
    <w:rsid w:val="00044864"/>
    <w:rsid w:val="00045744"/>
    <w:rsid w:val="00046E89"/>
    <w:rsid w:val="000474D8"/>
    <w:rsid w:val="00051E27"/>
    <w:rsid w:val="00053123"/>
    <w:rsid w:val="00054019"/>
    <w:rsid w:val="000551A1"/>
    <w:rsid w:val="00056771"/>
    <w:rsid w:val="0006395D"/>
    <w:rsid w:val="00064060"/>
    <w:rsid w:val="00065349"/>
    <w:rsid w:val="000671CF"/>
    <w:rsid w:val="000714D3"/>
    <w:rsid w:val="00071EE8"/>
    <w:rsid w:val="0007324D"/>
    <w:rsid w:val="0007794E"/>
    <w:rsid w:val="0008091B"/>
    <w:rsid w:val="00080A83"/>
    <w:rsid w:val="00082A27"/>
    <w:rsid w:val="00083BA2"/>
    <w:rsid w:val="00087B4E"/>
    <w:rsid w:val="00092B2D"/>
    <w:rsid w:val="000934BB"/>
    <w:rsid w:val="00095571"/>
    <w:rsid w:val="000A3CF4"/>
    <w:rsid w:val="000A4453"/>
    <w:rsid w:val="000A6F6E"/>
    <w:rsid w:val="000A7BB4"/>
    <w:rsid w:val="000A7C1F"/>
    <w:rsid w:val="000B43F8"/>
    <w:rsid w:val="000B7AFE"/>
    <w:rsid w:val="000C2787"/>
    <w:rsid w:val="000C2CB5"/>
    <w:rsid w:val="000C436D"/>
    <w:rsid w:val="000D059E"/>
    <w:rsid w:val="000D17BD"/>
    <w:rsid w:val="000D5941"/>
    <w:rsid w:val="000D5CCD"/>
    <w:rsid w:val="000D6210"/>
    <w:rsid w:val="000D6B77"/>
    <w:rsid w:val="000E176B"/>
    <w:rsid w:val="000E2012"/>
    <w:rsid w:val="000E3408"/>
    <w:rsid w:val="000E3F12"/>
    <w:rsid w:val="000E5100"/>
    <w:rsid w:val="000E576B"/>
    <w:rsid w:val="000E676F"/>
    <w:rsid w:val="000E7102"/>
    <w:rsid w:val="000E71CB"/>
    <w:rsid w:val="000F0EFC"/>
    <w:rsid w:val="000F6DB3"/>
    <w:rsid w:val="0010138D"/>
    <w:rsid w:val="00101538"/>
    <w:rsid w:val="00101E3C"/>
    <w:rsid w:val="00112416"/>
    <w:rsid w:val="0011459B"/>
    <w:rsid w:val="001163E8"/>
    <w:rsid w:val="00117329"/>
    <w:rsid w:val="001203DC"/>
    <w:rsid w:val="001206B7"/>
    <w:rsid w:val="00120DD8"/>
    <w:rsid w:val="001212D2"/>
    <w:rsid w:val="001220A0"/>
    <w:rsid w:val="00124D35"/>
    <w:rsid w:val="00126035"/>
    <w:rsid w:val="00130E44"/>
    <w:rsid w:val="00131571"/>
    <w:rsid w:val="001326DF"/>
    <w:rsid w:val="0013475F"/>
    <w:rsid w:val="0013479E"/>
    <w:rsid w:val="00134F9E"/>
    <w:rsid w:val="001370FB"/>
    <w:rsid w:val="00142303"/>
    <w:rsid w:val="0014306A"/>
    <w:rsid w:val="00143C11"/>
    <w:rsid w:val="001440D0"/>
    <w:rsid w:val="00144E8C"/>
    <w:rsid w:val="00145AB1"/>
    <w:rsid w:val="00146A4E"/>
    <w:rsid w:val="00146FA1"/>
    <w:rsid w:val="0015119D"/>
    <w:rsid w:val="00153294"/>
    <w:rsid w:val="00153704"/>
    <w:rsid w:val="001538FB"/>
    <w:rsid w:val="00153FCF"/>
    <w:rsid w:val="0015417F"/>
    <w:rsid w:val="00161C1B"/>
    <w:rsid w:val="00161F7C"/>
    <w:rsid w:val="00163A79"/>
    <w:rsid w:val="00163D5F"/>
    <w:rsid w:val="00163FB3"/>
    <w:rsid w:val="0016519C"/>
    <w:rsid w:val="00167EFF"/>
    <w:rsid w:val="00171F0A"/>
    <w:rsid w:val="001726B3"/>
    <w:rsid w:val="00173145"/>
    <w:rsid w:val="00174DB8"/>
    <w:rsid w:val="00175971"/>
    <w:rsid w:val="001765D6"/>
    <w:rsid w:val="00177601"/>
    <w:rsid w:val="00180129"/>
    <w:rsid w:val="00184296"/>
    <w:rsid w:val="0018474B"/>
    <w:rsid w:val="00185342"/>
    <w:rsid w:val="0018545E"/>
    <w:rsid w:val="00185A23"/>
    <w:rsid w:val="001878F6"/>
    <w:rsid w:val="0019149B"/>
    <w:rsid w:val="00193576"/>
    <w:rsid w:val="00193A5F"/>
    <w:rsid w:val="00193C9F"/>
    <w:rsid w:val="001941CE"/>
    <w:rsid w:val="00197C92"/>
    <w:rsid w:val="001A1D45"/>
    <w:rsid w:val="001A408D"/>
    <w:rsid w:val="001A7753"/>
    <w:rsid w:val="001B0D71"/>
    <w:rsid w:val="001B1501"/>
    <w:rsid w:val="001B20F6"/>
    <w:rsid w:val="001B56C3"/>
    <w:rsid w:val="001B6205"/>
    <w:rsid w:val="001B6AC2"/>
    <w:rsid w:val="001C01E8"/>
    <w:rsid w:val="001C0F2F"/>
    <w:rsid w:val="001C6116"/>
    <w:rsid w:val="001C77B3"/>
    <w:rsid w:val="001D0999"/>
    <w:rsid w:val="001D23F3"/>
    <w:rsid w:val="001D41F7"/>
    <w:rsid w:val="001D4747"/>
    <w:rsid w:val="001D6899"/>
    <w:rsid w:val="001E1775"/>
    <w:rsid w:val="001E1B7C"/>
    <w:rsid w:val="001E51A6"/>
    <w:rsid w:val="001E5BDE"/>
    <w:rsid w:val="001E7FAB"/>
    <w:rsid w:val="001F012C"/>
    <w:rsid w:val="001F0855"/>
    <w:rsid w:val="001F2A7C"/>
    <w:rsid w:val="001F2CCF"/>
    <w:rsid w:val="001F485A"/>
    <w:rsid w:val="001F5464"/>
    <w:rsid w:val="001F6DFE"/>
    <w:rsid w:val="001F6EA6"/>
    <w:rsid w:val="002002A6"/>
    <w:rsid w:val="002005F4"/>
    <w:rsid w:val="00201649"/>
    <w:rsid w:val="002026AD"/>
    <w:rsid w:val="00202C3D"/>
    <w:rsid w:val="002038FF"/>
    <w:rsid w:val="00203EBC"/>
    <w:rsid w:val="00204593"/>
    <w:rsid w:val="002053F1"/>
    <w:rsid w:val="0020599F"/>
    <w:rsid w:val="002100DD"/>
    <w:rsid w:val="00212D92"/>
    <w:rsid w:val="00213A84"/>
    <w:rsid w:val="0021621D"/>
    <w:rsid w:val="002165AA"/>
    <w:rsid w:val="00224330"/>
    <w:rsid w:val="00225EF1"/>
    <w:rsid w:val="00226747"/>
    <w:rsid w:val="00226F73"/>
    <w:rsid w:val="00227687"/>
    <w:rsid w:val="00235249"/>
    <w:rsid w:val="00236ACD"/>
    <w:rsid w:val="00236CD1"/>
    <w:rsid w:val="002375BF"/>
    <w:rsid w:val="002405CB"/>
    <w:rsid w:val="00240FFA"/>
    <w:rsid w:val="00241EAE"/>
    <w:rsid w:val="002433D4"/>
    <w:rsid w:val="00246432"/>
    <w:rsid w:val="00246609"/>
    <w:rsid w:val="00246A2C"/>
    <w:rsid w:val="00246B65"/>
    <w:rsid w:val="002501B8"/>
    <w:rsid w:val="00251ABF"/>
    <w:rsid w:val="00251B8E"/>
    <w:rsid w:val="00253B95"/>
    <w:rsid w:val="00254117"/>
    <w:rsid w:val="002544B6"/>
    <w:rsid w:val="00254A04"/>
    <w:rsid w:val="002565DE"/>
    <w:rsid w:val="00257638"/>
    <w:rsid w:val="00257983"/>
    <w:rsid w:val="002608CD"/>
    <w:rsid w:val="00260E75"/>
    <w:rsid w:val="002620AF"/>
    <w:rsid w:val="0026352A"/>
    <w:rsid w:val="00265AF4"/>
    <w:rsid w:val="00265B72"/>
    <w:rsid w:val="00266A16"/>
    <w:rsid w:val="00266E5D"/>
    <w:rsid w:val="00267F37"/>
    <w:rsid w:val="00270834"/>
    <w:rsid w:val="00270F3C"/>
    <w:rsid w:val="00272F09"/>
    <w:rsid w:val="0027372E"/>
    <w:rsid w:val="00275C95"/>
    <w:rsid w:val="002762DB"/>
    <w:rsid w:val="00276B60"/>
    <w:rsid w:val="002841A6"/>
    <w:rsid w:val="0029105B"/>
    <w:rsid w:val="0029666C"/>
    <w:rsid w:val="00297FBD"/>
    <w:rsid w:val="002A02AF"/>
    <w:rsid w:val="002A0802"/>
    <w:rsid w:val="002A3ED1"/>
    <w:rsid w:val="002A611B"/>
    <w:rsid w:val="002A65EA"/>
    <w:rsid w:val="002A7606"/>
    <w:rsid w:val="002B1D3F"/>
    <w:rsid w:val="002B1EC4"/>
    <w:rsid w:val="002B45FB"/>
    <w:rsid w:val="002B7BA2"/>
    <w:rsid w:val="002C0024"/>
    <w:rsid w:val="002C029F"/>
    <w:rsid w:val="002C3A4E"/>
    <w:rsid w:val="002C3F75"/>
    <w:rsid w:val="002C6323"/>
    <w:rsid w:val="002C6A62"/>
    <w:rsid w:val="002C7BE6"/>
    <w:rsid w:val="002C7FE2"/>
    <w:rsid w:val="002D0045"/>
    <w:rsid w:val="002D5078"/>
    <w:rsid w:val="002E1B3B"/>
    <w:rsid w:val="002E3FA3"/>
    <w:rsid w:val="002E4075"/>
    <w:rsid w:val="002E4AC4"/>
    <w:rsid w:val="002E4F17"/>
    <w:rsid w:val="002E67D4"/>
    <w:rsid w:val="002E68FC"/>
    <w:rsid w:val="002E7FB8"/>
    <w:rsid w:val="002F1D65"/>
    <w:rsid w:val="002F2976"/>
    <w:rsid w:val="002F340F"/>
    <w:rsid w:val="002F3A17"/>
    <w:rsid w:val="002F3B20"/>
    <w:rsid w:val="002F69F5"/>
    <w:rsid w:val="002F6E3B"/>
    <w:rsid w:val="002F7120"/>
    <w:rsid w:val="002F7324"/>
    <w:rsid w:val="0030319B"/>
    <w:rsid w:val="0030561D"/>
    <w:rsid w:val="003079E6"/>
    <w:rsid w:val="00314537"/>
    <w:rsid w:val="00320250"/>
    <w:rsid w:val="00320869"/>
    <w:rsid w:val="003209C2"/>
    <w:rsid w:val="00320FE4"/>
    <w:rsid w:val="003222E1"/>
    <w:rsid w:val="003224E7"/>
    <w:rsid w:val="0032266A"/>
    <w:rsid w:val="00322B02"/>
    <w:rsid w:val="00322E15"/>
    <w:rsid w:val="00323383"/>
    <w:rsid w:val="00323DDA"/>
    <w:rsid w:val="00324BB2"/>
    <w:rsid w:val="00325B52"/>
    <w:rsid w:val="00326F8E"/>
    <w:rsid w:val="00332FB9"/>
    <w:rsid w:val="00333496"/>
    <w:rsid w:val="00334F93"/>
    <w:rsid w:val="00335491"/>
    <w:rsid w:val="00335B4E"/>
    <w:rsid w:val="00335FAC"/>
    <w:rsid w:val="003368EC"/>
    <w:rsid w:val="003401DC"/>
    <w:rsid w:val="003404B3"/>
    <w:rsid w:val="00341315"/>
    <w:rsid w:val="00341B06"/>
    <w:rsid w:val="00341E51"/>
    <w:rsid w:val="003429EB"/>
    <w:rsid w:val="00343F18"/>
    <w:rsid w:val="00344230"/>
    <w:rsid w:val="00345A60"/>
    <w:rsid w:val="00351EB3"/>
    <w:rsid w:val="00352A7B"/>
    <w:rsid w:val="00352D11"/>
    <w:rsid w:val="00353AB5"/>
    <w:rsid w:val="00355F97"/>
    <w:rsid w:val="0035659D"/>
    <w:rsid w:val="00357B15"/>
    <w:rsid w:val="003619D3"/>
    <w:rsid w:val="00365848"/>
    <w:rsid w:val="00366FD1"/>
    <w:rsid w:val="00370AF6"/>
    <w:rsid w:val="003746C1"/>
    <w:rsid w:val="00374979"/>
    <w:rsid w:val="00375053"/>
    <w:rsid w:val="00377087"/>
    <w:rsid w:val="00381404"/>
    <w:rsid w:val="00383DD7"/>
    <w:rsid w:val="003842A3"/>
    <w:rsid w:val="0038580E"/>
    <w:rsid w:val="00385C67"/>
    <w:rsid w:val="00385F1F"/>
    <w:rsid w:val="00386BD9"/>
    <w:rsid w:val="00386C9B"/>
    <w:rsid w:val="003872E6"/>
    <w:rsid w:val="003915BF"/>
    <w:rsid w:val="00391DA1"/>
    <w:rsid w:val="0039689F"/>
    <w:rsid w:val="00396C89"/>
    <w:rsid w:val="003A1823"/>
    <w:rsid w:val="003A27A3"/>
    <w:rsid w:val="003A4A19"/>
    <w:rsid w:val="003A50F6"/>
    <w:rsid w:val="003A5673"/>
    <w:rsid w:val="003A5E19"/>
    <w:rsid w:val="003B1182"/>
    <w:rsid w:val="003B3517"/>
    <w:rsid w:val="003B3A1C"/>
    <w:rsid w:val="003B589D"/>
    <w:rsid w:val="003B5CB4"/>
    <w:rsid w:val="003B5DF6"/>
    <w:rsid w:val="003B6949"/>
    <w:rsid w:val="003C238A"/>
    <w:rsid w:val="003C23C8"/>
    <w:rsid w:val="003C27D5"/>
    <w:rsid w:val="003C4F1C"/>
    <w:rsid w:val="003C6539"/>
    <w:rsid w:val="003C7054"/>
    <w:rsid w:val="003C778B"/>
    <w:rsid w:val="003C7B7E"/>
    <w:rsid w:val="003D1946"/>
    <w:rsid w:val="003D4BEB"/>
    <w:rsid w:val="003D4EAF"/>
    <w:rsid w:val="003D770D"/>
    <w:rsid w:val="003E01F5"/>
    <w:rsid w:val="003E1A92"/>
    <w:rsid w:val="003E25DE"/>
    <w:rsid w:val="003E4B33"/>
    <w:rsid w:val="003E5FBE"/>
    <w:rsid w:val="003E626C"/>
    <w:rsid w:val="003E68AA"/>
    <w:rsid w:val="003F0291"/>
    <w:rsid w:val="003F178D"/>
    <w:rsid w:val="003F5797"/>
    <w:rsid w:val="003F5803"/>
    <w:rsid w:val="003F6E18"/>
    <w:rsid w:val="00401675"/>
    <w:rsid w:val="004077DD"/>
    <w:rsid w:val="0041132C"/>
    <w:rsid w:val="0041209D"/>
    <w:rsid w:val="00415ED9"/>
    <w:rsid w:val="00422483"/>
    <w:rsid w:val="00422864"/>
    <w:rsid w:val="004258F4"/>
    <w:rsid w:val="00425CEC"/>
    <w:rsid w:val="0042663D"/>
    <w:rsid w:val="004273A0"/>
    <w:rsid w:val="004314B7"/>
    <w:rsid w:val="004325AB"/>
    <w:rsid w:val="00432F08"/>
    <w:rsid w:val="00433925"/>
    <w:rsid w:val="00433B99"/>
    <w:rsid w:val="00433F33"/>
    <w:rsid w:val="0043573A"/>
    <w:rsid w:val="00435F19"/>
    <w:rsid w:val="00437D9B"/>
    <w:rsid w:val="00444941"/>
    <w:rsid w:val="00445592"/>
    <w:rsid w:val="004457BB"/>
    <w:rsid w:val="00445C68"/>
    <w:rsid w:val="00447B65"/>
    <w:rsid w:val="0045097E"/>
    <w:rsid w:val="004509CD"/>
    <w:rsid w:val="0045190C"/>
    <w:rsid w:val="00451AAB"/>
    <w:rsid w:val="00452B15"/>
    <w:rsid w:val="00457025"/>
    <w:rsid w:val="00460662"/>
    <w:rsid w:val="00460E45"/>
    <w:rsid w:val="0046278E"/>
    <w:rsid w:val="004635D4"/>
    <w:rsid w:val="0046789B"/>
    <w:rsid w:val="0047014E"/>
    <w:rsid w:val="00471764"/>
    <w:rsid w:val="00476FF1"/>
    <w:rsid w:val="004775D8"/>
    <w:rsid w:val="00477B2E"/>
    <w:rsid w:val="00482712"/>
    <w:rsid w:val="0048357C"/>
    <w:rsid w:val="00483A92"/>
    <w:rsid w:val="00484D4D"/>
    <w:rsid w:val="00486EA3"/>
    <w:rsid w:val="00490B43"/>
    <w:rsid w:val="00492E72"/>
    <w:rsid w:val="00492F23"/>
    <w:rsid w:val="004933C3"/>
    <w:rsid w:val="00493718"/>
    <w:rsid w:val="00493D90"/>
    <w:rsid w:val="0049430C"/>
    <w:rsid w:val="004A5658"/>
    <w:rsid w:val="004B0333"/>
    <w:rsid w:val="004B14F3"/>
    <w:rsid w:val="004B30D8"/>
    <w:rsid w:val="004B3345"/>
    <w:rsid w:val="004B506F"/>
    <w:rsid w:val="004B571E"/>
    <w:rsid w:val="004B5F98"/>
    <w:rsid w:val="004C091F"/>
    <w:rsid w:val="004C13C6"/>
    <w:rsid w:val="004C140C"/>
    <w:rsid w:val="004C1EDC"/>
    <w:rsid w:val="004C4160"/>
    <w:rsid w:val="004C6374"/>
    <w:rsid w:val="004C667E"/>
    <w:rsid w:val="004C7819"/>
    <w:rsid w:val="004D2446"/>
    <w:rsid w:val="004D28AC"/>
    <w:rsid w:val="004D412E"/>
    <w:rsid w:val="004D5731"/>
    <w:rsid w:val="004D69BF"/>
    <w:rsid w:val="004E0AD2"/>
    <w:rsid w:val="004E1C21"/>
    <w:rsid w:val="004E7DC0"/>
    <w:rsid w:val="004F0DAB"/>
    <w:rsid w:val="004F138C"/>
    <w:rsid w:val="004F1E6A"/>
    <w:rsid w:val="004F23E7"/>
    <w:rsid w:val="004F24BC"/>
    <w:rsid w:val="004F5FA2"/>
    <w:rsid w:val="004F615E"/>
    <w:rsid w:val="004F6812"/>
    <w:rsid w:val="0050367B"/>
    <w:rsid w:val="00503D54"/>
    <w:rsid w:val="005041AD"/>
    <w:rsid w:val="005041C3"/>
    <w:rsid w:val="00510389"/>
    <w:rsid w:val="0051231E"/>
    <w:rsid w:val="00516397"/>
    <w:rsid w:val="00516BB0"/>
    <w:rsid w:val="0052045C"/>
    <w:rsid w:val="00524E27"/>
    <w:rsid w:val="0052739A"/>
    <w:rsid w:val="00527D30"/>
    <w:rsid w:val="00531250"/>
    <w:rsid w:val="00533774"/>
    <w:rsid w:val="005342A1"/>
    <w:rsid w:val="005358C1"/>
    <w:rsid w:val="00536D3D"/>
    <w:rsid w:val="00541A72"/>
    <w:rsid w:val="00545804"/>
    <w:rsid w:val="00546269"/>
    <w:rsid w:val="005466BD"/>
    <w:rsid w:val="005473FB"/>
    <w:rsid w:val="005474DB"/>
    <w:rsid w:val="005507B0"/>
    <w:rsid w:val="00554D16"/>
    <w:rsid w:val="00557AD0"/>
    <w:rsid w:val="00562840"/>
    <w:rsid w:val="0056567F"/>
    <w:rsid w:val="005678BD"/>
    <w:rsid w:val="00570080"/>
    <w:rsid w:val="00570FB6"/>
    <w:rsid w:val="0057360E"/>
    <w:rsid w:val="00573EA8"/>
    <w:rsid w:val="00574CE7"/>
    <w:rsid w:val="00575787"/>
    <w:rsid w:val="005759CB"/>
    <w:rsid w:val="00575A44"/>
    <w:rsid w:val="00577486"/>
    <w:rsid w:val="00584565"/>
    <w:rsid w:val="005868FA"/>
    <w:rsid w:val="00587202"/>
    <w:rsid w:val="00587792"/>
    <w:rsid w:val="005905FA"/>
    <w:rsid w:val="00592E70"/>
    <w:rsid w:val="005938BC"/>
    <w:rsid w:val="0059451F"/>
    <w:rsid w:val="00594527"/>
    <w:rsid w:val="00594F78"/>
    <w:rsid w:val="005950D9"/>
    <w:rsid w:val="00595160"/>
    <w:rsid w:val="0059690B"/>
    <w:rsid w:val="005A1161"/>
    <w:rsid w:val="005A24A5"/>
    <w:rsid w:val="005A6308"/>
    <w:rsid w:val="005B0355"/>
    <w:rsid w:val="005B03FE"/>
    <w:rsid w:val="005B1F44"/>
    <w:rsid w:val="005B48EB"/>
    <w:rsid w:val="005B57A9"/>
    <w:rsid w:val="005B6593"/>
    <w:rsid w:val="005C0AEB"/>
    <w:rsid w:val="005C13AA"/>
    <w:rsid w:val="005C1ED2"/>
    <w:rsid w:val="005C3FA0"/>
    <w:rsid w:val="005C712F"/>
    <w:rsid w:val="005D0405"/>
    <w:rsid w:val="005D0B7B"/>
    <w:rsid w:val="005D301B"/>
    <w:rsid w:val="005D3361"/>
    <w:rsid w:val="005D346F"/>
    <w:rsid w:val="005D3C07"/>
    <w:rsid w:val="005D67CB"/>
    <w:rsid w:val="005D6B2A"/>
    <w:rsid w:val="005D76C9"/>
    <w:rsid w:val="005E07CB"/>
    <w:rsid w:val="005E0FC7"/>
    <w:rsid w:val="005E15FF"/>
    <w:rsid w:val="005E434E"/>
    <w:rsid w:val="005E55ED"/>
    <w:rsid w:val="005F02AF"/>
    <w:rsid w:val="005F033C"/>
    <w:rsid w:val="00601BA5"/>
    <w:rsid w:val="006036EC"/>
    <w:rsid w:val="0060399E"/>
    <w:rsid w:val="00603E1E"/>
    <w:rsid w:val="006040A0"/>
    <w:rsid w:val="006054E8"/>
    <w:rsid w:val="006058D6"/>
    <w:rsid w:val="006144BE"/>
    <w:rsid w:val="00622450"/>
    <w:rsid w:val="0062248B"/>
    <w:rsid w:val="006225D6"/>
    <w:rsid w:val="00623564"/>
    <w:rsid w:val="006241EA"/>
    <w:rsid w:val="00624BE7"/>
    <w:rsid w:val="00631C96"/>
    <w:rsid w:val="0063220F"/>
    <w:rsid w:val="006326A9"/>
    <w:rsid w:val="00632C00"/>
    <w:rsid w:val="0063434B"/>
    <w:rsid w:val="0063461E"/>
    <w:rsid w:val="00634B64"/>
    <w:rsid w:val="00637556"/>
    <w:rsid w:val="0064063F"/>
    <w:rsid w:val="00641502"/>
    <w:rsid w:val="0064759E"/>
    <w:rsid w:val="00650A80"/>
    <w:rsid w:val="006514B6"/>
    <w:rsid w:val="00656881"/>
    <w:rsid w:val="006572BD"/>
    <w:rsid w:val="00661F27"/>
    <w:rsid w:val="00663C64"/>
    <w:rsid w:val="00663ED3"/>
    <w:rsid w:val="006648F7"/>
    <w:rsid w:val="00665246"/>
    <w:rsid w:val="00666EE1"/>
    <w:rsid w:val="006676C2"/>
    <w:rsid w:val="006714E8"/>
    <w:rsid w:val="00674C31"/>
    <w:rsid w:val="00675C88"/>
    <w:rsid w:val="0067699D"/>
    <w:rsid w:val="00676C3D"/>
    <w:rsid w:val="00677AE6"/>
    <w:rsid w:val="00677FD5"/>
    <w:rsid w:val="0068107E"/>
    <w:rsid w:val="00681AAC"/>
    <w:rsid w:val="00682B5B"/>
    <w:rsid w:val="0068749F"/>
    <w:rsid w:val="00692C13"/>
    <w:rsid w:val="00695620"/>
    <w:rsid w:val="00696159"/>
    <w:rsid w:val="0069626D"/>
    <w:rsid w:val="006A0E1C"/>
    <w:rsid w:val="006A0E69"/>
    <w:rsid w:val="006A2600"/>
    <w:rsid w:val="006A4198"/>
    <w:rsid w:val="006A55C1"/>
    <w:rsid w:val="006A627F"/>
    <w:rsid w:val="006B11CC"/>
    <w:rsid w:val="006B17F9"/>
    <w:rsid w:val="006B2B9F"/>
    <w:rsid w:val="006B4CD2"/>
    <w:rsid w:val="006C02D8"/>
    <w:rsid w:val="006C0D50"/>
    <w:rsid w:val="006C1B6E"/>
    <w:rsid w:val="006C1E5A"/>
    <w:rsid w:val="006C1FAD"/>
    <w:rsid w:val="006C250C"/>
    <w:rsid w:val="006C682F"/>
    <w:rsid w:val="006C6A48"/>
    <w:rsid w:val="006D0FBE"/>
    <w:rsid w:val="006D4894"/>
    <w:rsid w:val="006D4C1C"/>
    <w:rsid w:val="006E08CA"/>
    <w:rsid w:val="006E0FF8"/>
    <w:rsid w:val="006E16DD"/>
    <w:rsid w:val="006E2B34"/>
    <w:rsid w:val="006E2E6E"/>
    <w:rsid w:val="006E3185"/>
    <w:rsid w:val="006E445A"/>
    <w:rsid w:val="006F0699"/>
    <w:rsid w:val="006F07C8"/>
    <w:rsid w:val="006F18B3"/>
    <w:rsid w:val="006F278F"/>
    <w:rsid w:val="006F3B61"/>
    <w:rsid w:val="006F3D10"/>
    <w:rsid w:val="006F44E9"/>
    <w:rsid w:val="006F51CA"/>
    <w:rsid w:val="006F5988"/>
    <w:rsid w:val="006F7DC2"/>
    <w:rsid w:val="0070083B"/>
    <w:rsid w:val="00702870"/>
    <w:rsid w:val="007037C8"/>
    <w:rsid w:val="007051EF"/>
    <w:rsid w:val="00705F45"/>
    <w:rsid w:val="0070637F"/>
    <w:rsid w:val="0071024D"/>
    <w:rsid w:val="007109D3"/>
    <w:rsid w:val="0071457F"/>
    <w:rsid w:val="00714D5F"/>
    <w:rsid w:val="00714FAA"/>
    <w:rsid w:val="00715F8D"/>
    <w:rsid w:val="007177F8"/>
    <w:rsid w:val="00720151"/>
    <w:rsid w:val="0072040F"/>
    <w:rsid w:val="00720607"/>
    <w:rsid w:val="007244A6"/>
    <w:rsid w:val="00724BC1"/>
    <w:rsid w:val="00724D3B"/>
    <w:rsid w:val="00732467"/>
    <w:rsid w:val="00734F11"/>
    <w:rsid w:val="007352C7"/>
    <w:rsid w:val="00737744"/>
    <w:rsid w:val="00737A85"/>
    <w:rsid w:val="00746952"/>
    <w:rsid w:val="007504EA"/>
    <w:rsid w:val="00750740"/>
    <w:rsid w:val="007548BF"/>
    <w:rsid w:val="00756D2D"/>
    <w:rsid w:val="00756FF3"/>
    <w:rsid w:val="00762CA8"/>
    <w:rsid w:val="0076423E"/>
    <w:rsid w:val="00764A0D"/>
    <w:rsid w:val="00765B84"/>
    <w:rsid w:val="00767898"/>
    <w:rsid w:val="007711E9"/>
    <w:rsid w:val="00772A68"/>
    <w:rsid w:val="00772BFC"/>
    <w:rsid w:val="007735E0"/>
    <w:rsid w:val="00773880"/>
    <w:rsid w:val="007750A4"/>
    <w:rsid w:val="0077546C"/>
    <w:rsid w:val="00776C92"/>
    <w:rsid w:val="00777F01"/>
    <w:rsid w:val="00782287"/>
    <w:rsid w:val="0078399C"/>
    <w:rsid w:val="00784639"/>
    <w:rsid w:val="00787400"/>
    <w:rsid w:val="007921D8"/>
    <w:rsid w:val="00793B37"/>
    <w:rsid w:val="0079409C"/>
    <w:rsid w:val="007951D1"/>
    <w:rsid w:val="007A1140"/>
    <w:rsid w:val="007A4509"/>
    <w:rsid w:val="007A4924"/>
    <w:rsid w:val="007A4CBC"/>
    <w:rsid w:val="007A5E8D"/>
    <w:rsid w:val="007A7617"/>
    <w:rsid w:val="007B1D7E"/>
    <w:rsid w:val="007B360F"/>
    <w:rsid w:val="007B5928"/>
    <w:rsid w:val="007B76A3"/>
    <w:rsid w:val="007B7786"/>
    <w:rsid w:val="007C056A"/>
    <w:rsid w:val="007C0A58"/>
    <w:rsid w:val="007C1922"/>
    <w:rsid w:val="007C44D4"/>
    <w:rsid w:val="007C4F41"/>
    <w:rsid w:val="007D124A"/>
    <w:rsid w:val="007D273E"/>
    <w:rsid w:val="007D3B3C"/>
    <w:rsid w:val="007D3C6E"/>
    <w:rsid w:val="007D6E1D"/>
    <w:rsid w:val="007D73EC"/>
    <w:rsid w:val="007E0524"/>
    <w:rsid w:val="007E347E"/>
    <w:rsid w:val="007E765F"/>
    <w:rsid w:val="007F1EE4"/>
    <w:rsid w:val="007F2104"/>
    <w:rsid w:val="007F3F7A"/>
    <w:rsid w:val="007F777A"/>
    <w:rsid w:val="007F7C5B"/>
    <w:rsid w:val="007F7F9B"/>
    <w:rsid w:val="0080089A"/>
    <w:rsid w:val="0080216D"/>
    <w:rsid w:val="008024E0"/>
    <w:rsid w:val="00803458"/>
    <w:rsid w:val="008043BB"/>
    <w:rsid w:val="008047B8"/>
    <w:rsid w:val="00804984"/>
    <w:rsid w:val="008067D8"/>
    <w:rsid w:val="00810858"/>
    <w:rsid w:val="00811815"/>
    <w:rsid w:val="00812600"/>
    <w:rsid w:val="00813468"/>
    <w:rsid w:val="00814818"/>
    <w:rsid w:val="00815557"/>
    <w:rsid w:val="00815587"/>
    <w:rsid w:val="008203ED"/>
    <w:rsid w:val="00820D3E"/>
    <w:rsid w:val="00821BE1"/>
    <w:rsid w:val="00824035"/>
    <w:rsid w:val="0082479E"/>
    <w:rsid w:val="00825FDE"/>
    <w:rsid w:val="008276E1"/>
    <w:rsid w:val="00827F5B"/>
    <w:rsid w:val="00827F68"/>
    <w:rsid w:val="008319CC"/>
    <w:rsid w:val="00834E74"/>
    <w:rsid w:val="00836885"/>
    <w:rsid w:val="008402FD"/>
    <w:rsid w:val="00841306"/>
    <w:rsid w:val="008460F7"/>
    <w:rsid w:val="00850EA1"/>
    <w:rsid w:val="008516C1"/>
    <w:rsid w:val="00851A54"/>
    <w:rsid w:val="0085223C"/>
    <w:rsid w:val="00853483"/>
    <w:rsid w:val="00856A47"/>
    <w:rsid w:val="00857A56"/>
    <w:rsid w:val="00860E59"/>
    <w:rsid w:val="00861C9F"/>
    <w:rsid w:val="00861E7C"/>
    <w:rsid w:val="00861F37"/>
    <w:rsid w:val="00863891"/>
    <w:rsid w:val="00865252"/>
    <w:rsid w:val="0086745F"/>
    <w:rsid w:val="0087093D"/>
    <w:rsid w:val="0087104D"/>
    <w:rsid w:val="00872A7B"/>
    <w:rsid w:val="00873268"/>
    <w:rsid w:val="00873F57"/>
    <w:rsid w:val="00874AB5"/>
    <w:rsid w:val="00874FC2"/>
    <w:rsid w:val="0087520E"/>
    <w:rsid w:val="00875C75"/>
    <w:rsid w:val="008778EC"/>
    <w:rsid w:val="00877F32"/>
    <w:rsid w:val="0088038C"/>
    <w:rsid w:val="00880AD7"/>
    <w:rsid w:val="00881BF6"/>
    <w:rsid w:val="00885850"/>
    <w:rsid w:val="00885978"/>
    <w:rsid w:val="00890F45"/>
    <w:rsid w:val="00893023"/>
    <w:rsid w:val="008939F5"/>
    <w:rsid w:val="00897F58"/>
    <w:rsid w:val="008A1116"/>
    <w:rsid w:val="008A29AB"/>
    <w:rsid w:val="008A2DD9"/>
    <w:rsid w:val="008A30DF"/>
    <w:rsid w:val="008A38C0"/>
    <w:rsid w:val="008A54D2"/>
    <w:rsid w:val="008A7EA0"/>
    <w:rsid w:val="008B122E"/>
    <w:rsid w:val="008B1D2B"/>
    <w:rsid w:val="008B2281"/>
    <w:rsid w:val="008B3282"/>
    <w:rsid w:val="008B3A38"/>
    <w:rsid w:val="008B72AE"/>
    <w:rsid w:val="008B7B51"/>
    <w:rsid w:val="008C1706"/>
    <w:rsid w:val="008C2712"/>
    <w:rsid w:val="008C2B30"/>
    <w:rsid w:val="008C37CC"/>
    <w:rsid w:val="008C409C"/>
    <w:rsid w:val="008C6518"/>
    <w:rsid w:val="008C6CFF"/>
    <w:rsid w:val="008D0198"/>
    <w:rsid w:val="008D0D20"/>
    <w:rsid w:val="008D0EA1"/>
    <w:rsid w:val="008D4450"/>
    <w:rsid w:val="008D49AF"/>
    <w:rsid w:val="008D4D00"/>
    <w:rsid w:val="008D542C"/>
    <w:rsid w:val="008D61F1"/>
    <w:rsid w:val="008D6B43"/>
    <w:rsid w:val="008D7F33"/>
    <w:rsid w:val="008E2E7B"/>
    <w:rsid w:val="008E314A"/>
    <w:rsid w:val="008E60F6"/>
    <w:rsid w:val="008E655F"/>
    <w:rsid w:val="008E6F7A"/>
    <w:rsid w:val="008F0D4A"/>
    <w:rsid w:val="008F1342"/>
    <w:rsid w:val="008F1373"/>
    <w:rsid w:val="008F1BA6"/>
    <w:rsid w:val="00900E8D"/>
    <w:rsid w:val="009014EF"/>
    <w:rsid w:val="00905B56"/>
    <w:rsid w:val="00906097"/>
    <w:rsid w:val="00906D30"/>
    <w:rsid w:val="00907FF3"/>
    <w:rsid w:val="009111BA"/>
    <w:rsid w:val="00914699"/>
    <w:rsid w:val="00915543"/>
    <w:rsid w:val="009171FF"/>
    <w:rsid w:val="00917B2F"/>
    <w:rsid w:val="0092083D"/>
    <w:rsid w:val="009212CD"/>
    <w:rsid w:val="00922600"/>
    <w:rsid w:val="00923E61"/>
    <w:rsid w:val="00927D5A"/>
    <w:rsid w:val="00930CD3"/>
    <w:rsid w:val="00931FDC"/>
    <w:rsid w:val="00932FA4"/>
    <w:rsid w:val="009355BE"/>
    <w:rsid w:val="00936343"/>
    <w:rsid w:val="009377D2"/>
    <w:rsid w:val="009441D5"/>
    <w:rsid w:val="00944FFF"/>
    <w:rsid w:val="009454E8"/>
    <w:rsid w:val="00947507"/>
    <w:rsid w:val="009504E5"/>
    <w:rsid w:val="00955A57"/>
    <w:rsid w:val="00955E51"/>
    <w:rsid w:val="00960114"/>
    <w:rsid w:val="009602E7"/>
    <w:rsid w:val="00960870"/>
    <w:rsid w:val="00961152"/>
    <w:rsid w:val="009642BC"/>
    <w:rsid w:val="009677BA"/>
    <w:rsid w:val="00972FA6"/>
    <w:rsid w:val="00973715"/>
    <w:rsid w:val="00976EB0"/>
    <w:rsid w:val="00977ADC"/>
    <w:rsid w:val="00981FB2"/>
    <w:rsid w:val="009873B2"/>
    <w:rsid w:val="00987D60"/>
    <w:rsid w:val="00990B7A"/>
    <w:rsid w:val="00991AA6"/>
    <w:rsid w:val="00994D9B"/>
    <w:rsid w:val="00996879"/>
    <w:rsid w:val="009A00A0"/>
    <w:rsid w:val="009A04BA"/>
    <w:rsid w:val="009A44F3"/>
    <w:rsid w:val="009A4BC2"/>
    <w:rsid w:val="009A7250"/>
    <w:rsid w:val="009A73A8"/>
    <w:rsid w:val="009A7941"/>
    <w:rsid w:val="009B0312"/>
    <w:rsid w:val="009B0EC7"/>
    <w:rsid w:val="009B1230"/>
    <w:rsid w:val="009B3036"/>
    <w:rsid w:val="009C0495"/>
    <w:rsid w:val="009C06E5"/>
    <w:rsid w:val="009C4CB2"/>
    <w:rsid w:val="009C618E"/>
    <w:rsid w:val="009C693B"/>
    <w:rsid w:val="009C6BC2"/>
    <w:rsid w:val="009D11D0"/>
    <w:rsid w:val="009D2F31"/>
    <w:rsid w:val="009E0BFE"/>
    <w:rsid w:val="009E251B"/>
    <w:rsid w:val="009E3CAF"/>
    <w:rsid w:val="009E52E9"/>
    <w:rsid w:val="009F2BD5"/>
    <w:rsid w:val="009F325D"/>
    <w:rsid w:val="009F4025"/>
    <w:rsid w:val="009F5A0D"/>
    <w:rsid w:val="00A00F8C"/>
    <w:rsid w:val="00A044FE"/>
    <w:rsid w:val="00A04889"/>
    <w:rsid w:val="00A116EB"/>
    <w:rsid w:val="00A130D5"/>
    <w:rsid w:val="00A14435"/>
    <w:rsid w:val="00A165B4"/>
    <w:rsid w:val="00A2171E"/>
    <w:rsid w:val="00A224D0"/>
    <w:rsid w:val="00A23637"/>
    <w:rsid w:val="00A2391B"/>
    <w:rsid w:val="00A2429F"/>
    <w:rsid w:val="00A2575A"/>
    <w:rsid w:val="00A26483"/>
    <w:rsid w:val="00A26ABF"/>
    <w:rsid w:val="00A30ED6"/>
    <w:rsid w:val="00A3221E"/>
    <w:rsid w:val="00A33100"/>
    <w:rsid w:val="00A34861"/>
    <w:rsid w:val="00A37813"/>
    <w:rsid w:val="00A40556"/>
    <w:rsid w:val="00A40F39"/>
    <w:rsid w:val="00A410A4"/>
    <w:rsid w:val="00A41FCB"/>
    <w:rsid w:val="00A428BE"/>
    <w:rsid w:val="00A440CD"/>
    <w:rsid w:val="00A44A22"/>
    <w:rsid w:val="00A55154"/>
    <w:rsid w:val="00A57B7F"/>
    <w:rsid w:val="00A62394"/>
    <w:rsid w:val="00A6351D"/>
    <w:rsid w:val="00A64230"/>
    <w:rsid w:val="00A66566"/>
    <w:rsid w:val="00A66B89"/>
    <w:rsid w:val="00A7099F"/>
    <w:rsid w:val="00A71207"/>
    <w:rsid w:val="00A71BA7"/>
    <w:rsid w:val="00A723F7"/>
    <w:rsid w:val="00A74B43"/>
    <w:rsid w:val="00A76305"/>
    <w:rsid w:val="00A7682C"/>
    <w:rsid w:val="00A813A7"/>
    <w:rsid w:val="00A81677"/>
    <w:rsid w:val="00A81E7B"/>
    <w:rsid w:val="00A82444"/>
    <w:rsid w:val="00A8375D"/>
    <w:rsid w:val="00A8594B"/>
    <w:rsid w:val="00A905A1"/>
    <w:rsid w:val="00A91229"/>
    <w:rsid w:val="00A92CD2"/>
    <w:rsid w:val="00A92D99"/>
    <w:rsid w:val="00A93111"/>
    <w:rsid w:val="00A931EF"/>
    <w:rsid w:val="00A96D8F"/>
    <w:rsid w:val="00AA1E51"/>
    <w:rsid w:val="00AA2572"/>
    <w:rsid w:val="00AA2D6B"/>
    <w:rsid w:val="00AA675B"/>
    <w:rsid w:val="00AA725C"/>
    <w:rsid w:val="00AB2C21"/>
    <w:rsid w:val="00AB63F5"/>
    <w:rsid w:val="00AB6DE1"/>
    <w:rsid w:val="00AB7089"/>
    <w:rsid w:val="00AC00BD"/>
    <w:rsid w:val="00AC0EB9"/>
    <w:rsid w:val="00AC315F"/>
    <w:rsid w:val="00AC3750"/>
    <w:rsid w:val="00AC4720"/>
    <w:rsid w:val="00AC74AB"/>
    <w:rsid w:val="00AC7626"/>
    <w:rsid w:val="00AC7CAB"/>
    <w:rsid w:val="00AD2D88"/>
    <w:rsid w:val="00AD390F"/>
    <w:rsid w:val="00AD4E15"/>
    <w:rsid w:val="00AD4EB0"/>
    <w:rsid w:val="00AE08FF"/>
    <w:rsid w:val="00AE0E09"/>
    <w:rsid w:val="00AE100C"/>
    <w:rsid w:val="00AE1799"/>
    <w:rsid w:val="00AE3F6D"/>
    <w:rsid w:val="00AE4469"/>
    <w:rsid w:val="00AE5399"/>
    <w:rsid w:val="00AE6DB9"/>
    <w:rsid w:val="00AE7588"/>
    <w:rsid w:val="00AE77BB"/>
    <w:rsid w:val="00AF1688"/>
    <w:rsid w:val="00AF6485"/>
    <w:rsid w:val="00B000B1"/>
    <w:rsid w:val="00B028DC"/>
    <w:rsid w:val="00B02938"/>
    <w:rsid w:val="00B04209"/>
    <w:rsid w:val="00B05CE8"/>
    <w:rsid w:val="00B06E17"/>
    <w:rsid w:val="00B105EB"/>
    <w:rsid w:val="00B118A1"/>
    <w:rsid w:val="00B14504"/>
    <w:rsid w:val="00B15491"/>
    <w:rsid w:val="00B15842"/>
    <w:rsid w:val="00B1595E"/>
    <w:rsid w:val="00B15FF6"/>
    <w:rsid w:val="00B16653"/>
    <w:rsid w:val="00B16EF1"/>
    <w:rsid w:val="00B2396D"/>
    <w:rsid w:val="00B25B61"/>
    <w:rsid w:val="00B263FC"/>
    <w:rsid w:val="00B26541"/>
    <w:rsid w:val="00B26887"/>
    <w:rsid w:val="00B3035E"/>
    <w:rsid w:val="00B313BC"/>
    <w:rsid w:val="00B31636"/>
    <w:rsid w:val="00B35A0C"/>
    <w:rsid w:val="00B3697E"/>
    <w:rsid w:val="00B4265D"/>
    <w:rsid w:val="00B459B8"/>
    <w:rsid w:val="00B47FD5"/>
    <w:rsid w:val="00B50752"/>
    <w:rsid w:val="00B507EE"/>
    <w:rsid w:val="00B50A97"/>
    <w:rsid w:val="00B538C3"/>
    <w:rsid w:val="00B55BA3"/>
    <w:rsid w:val="00B56088"/>
    <w:rsid w:val="00B57667"/>
    <w:rsid w:val="00B60C59"/>
    <w:rsid w:val="00B61872"/>
    <w:rsid w:val="00B61CF2"/>
    <w:rsid w:val="00B625AE"/>
    <w:rsid w:val="00B80801"/>
    <w:rsid w:val="00B81C93"/>
    <w:rsid w:val="00B833D8"/>
    <w:rsid w:val="00B87CD1"/>
    <w:rsid w:val="00B916B7"/>
    <w:rsid w:val="00B91BCB"/>
    <w:rsid w:val="00B9215C"/>
    <w:rsid w:val="00B94408"/>
    <w:rsid w:val="00B9670A"/>
    <w:rsid w:val="00B97FA5"/>
    <w:rsid w:val="00BA00C7"/>
    <w:rsid w:val="00BA00FB"/>
    <w:rsid w:val="00BA3E4F"/>
    <w:rsid w:val="00BA688D"/>
    <w:rsid w:val="00BA68EF"/>
    <w:rsid w:val="00BB1A89"/>
    <w:rsid w:val="00BB2F61"/>
    <w:rsid w:val="00BB47E3"/>
    <w:rsid w:val="00BB4C05"/>
    <w:rsid w:val="00BB5434"/>
    <w:rsid w:val="00BB563D"/>
    <w:rsid w:val="00BB66E2"/>
    <w:rsid w:val="00BC08C7"/>
    <w:rsid w:val="00BC3B62"/>
    <w:rsid w:val="00BC4939"/>
    <w:rsid w:val="00BC6D64"/>
    <w:rsid w:val="00BC6F8C"/>
    <w:rsid w:val="00BD06CB"/>
    <w:rsid w:val="00BD08DD"/>
    <w:rsid w:val="00BD2426"/>
    <w:rsid w:val="00BD451A"/>
    <w:rsid w:val="00BD57CB"/>
    <w:rsid w:val="00BD6F89"/>
    <w:rsid w:val="00BE1B49"/>
    <w:rsid w:val="00BE226B"/>
    <w:rsid w:val="00BE7D7D"/>
    <w:rsid w:val="00BF26CE"/>
    <w:rsid w:val="00BF4A3E"/>
    <w:rsid w:val="00BF656E"/>
    <w:rsid w:val="00BF704C"/>
    <w:rsid w:val="00BF731C"/>
    <w:rsid w:val="00C001E9"/>
    <w:rsid w:val="00C00263"/>
    <w:rsid w:val="00C0037D"/>
    <w:rsid w:val="00C00AEA"/>
    <w:rsid w:val="00C031F0"/>
    <w:rsid w:val="00C03C5A"/>
    <w:rsid w:val="00C044A3"/>
    <w:rsid w:val="00C0529A"/>
    <w:rsid w:val="00C05D62"/>
    <w:rsid w:val="00C06788"/>
    <w:rsid w:val="00C07C83"/>
    <w:rsid w:val="00C10B50"/>
    <w:rsid w:val="00C10F34"/>
    <w:rsid w:val="00C111D3"/>
    <w:rsid w:val="00C11235"/>
    <w:rsid w:val="00C126C5"/>
    <w:rsid w:val="00C15E60"/>
    <w:rsid w:val="00C16482"/>
    <w:rsid w:val="00C23DD0"/>
    <w:rsid w:val="00C253BC"/>
    <w:rsid w:val="00C27721"/>
    <w:rsid w:val="00C31572"/>
    <w:rsid w:val="00C32B17"/>
    <w:rsid w:val="00C34887"/>
    <w:rsid w:val="00C35405"/>
    <w:rsid w:val="00C355A6"/>
    <w:rsid w:val="00C3638E"/>
    <w:rsid w:val="00C37B5A"/>
    <w:rsid w:val="00C40AE5"/>
    <w:rsid w:val="00C421D0"/>
    <w:rsid w:val="00C460B1"/>
    <w:rsid w:val="00C4672B"/>
    <w:rsid w:val="00C534B3"/>
    <w:rsid w:val="00C534DD"/>
    <w:rsid w:val="00C53DE1"/>
    <w:rsid w:val="00C54789"/>
    <w:rsid w:val="00C55CFE"/>
    <w:rsid w:val="00C5612A"/>
    <w:rsid w:val="00C565D5"/>
    <w:rsid w:val="00C602AF"/>
    <w:rsid w:val="00C60A0E"/>
    <w:rsid w:val="00C61318"/>
    <w:rsid w:val="00C61AEA"/>
    <w:rsid w:val="00C61CC0"/>
    <w:rsid w:val="00C6387E"/>
    <w:rsid w:val="00C647C4"/>
    <w:rsid w:val="00C64DC5"/>
    <w:rsid w:val="00C65D4E"/>
    <w:rsid w:val="00C6609A"/>
    <w:rsid w:val="00C669EE"/>
    <w:rsid w:val="00C74D9B"/>
    <w:rsid w:val="00C756BC"/>
    <w:rsid w:val="00C876D9"/>
    <w:rsid w:val="00C87DE8"/>
    <w:rsid w:val="00C905A5"/>
    <w:rsid w:val="00C928C5"/>
    <w:rsid w:val="00C93718"/>
    <w:rsid w:val="00C93D61"/>
    <w:rsid w:val="00C93E4A"/>
    <w:rsid w:val="00C9561C"/>
    <w:rsid w:val="00C95D9C"/>
    <w:rsid w:val="00C97CB4"/>
    <w:rsid w:val="00CA2177"/>
    <w:rsid w:val="00CA217A"/>
    <w:rsid w:val="00CA2AD1"/>
    <w:rsid w:val="00CA331E"/>
    <w:rsid w:val="00CA3667"/>
    <w:rsid w:val="00CA3C60"/>
    <w:rsid w:val="00CA4CCE"/>
    <w:rsid w:val="00CA4D38"/>
    <w:rsid w:val="00CA62E4"/>
    <w:rsid w:val="00CA69EC"/>
    <w:rsid w:val="00CA7195"/>
    <w:rsid w:val="00CA7D63"/>
    <w:rsid w:val="00CB2DE8"/>
    <w:rsid w:val="00CB2F92"/>
    <w:rsid w:val="00CB314B"/>
    <w:rsid w:val="00CB5D0C"/>
    <w:rsid w:val="00CB6EA8"/>
    <w:rsid w:val="00CC0DC7"/>
    <w:rsid w:val="00CC4140"/>
    <w:rsid w:val="00CC5110"/>
    <w:rsid w:val="00CC7A2E"/>
    <w:rsid w:val="00CD023D"/>
    <w:rsid w:val="00CD2F80"/>
    <w:rsid w:val="00CD555D"/>
    <w:rsid w:val="00CE070B"/>
    <w:rsid w:val="00CE1E9E"/>
    <w:rsid w:val="00CE34A1"/>
    <w:rsid w:val="00CE37FA"/>
    <w:rsid w:val="00CE570E"/>
    <w:rsid w:val="00CF1226"/>
    <w:rsid w:val="00CF178C"/>
    <w:rsid w:val="00CF17FA"/>
    <w:rsid w:val="00CF34F3"/>
    <w:rsid w:val="00D009D5"/>
    <w:rsid w:val="00D0198D"/>
    <w:rsid w:val="00D02B4F"/>
    <w:rsid w:val="00D02E32"/>
    <w:rsid w:val="00D05818"/>
    <w:rsid w:val="00D11801"/>
    <w:rsid w:val="00D13497"/>
    <w:rsid w:val="00D14CEC"/>
    <w:rsid w:val="00D162D6"/>
    <w:rsid w:val="00D16EDC"/>
    <w:rsid w:val="00D23B14"/>
    <w:rsid w:val="00D24633"/>
    <w:rsid w:val="00D249E3"/>
    <w:rsid w:val="00D25AFA"/>
    <w:rsid w:val="00D31F0E"/>
    <w:rsid w:val="00D3333B"/>
    <w:rsid w:val="00D35384"/>
    <w:rsid w:val="00D35ED5"/>
    <w:rsid w:val="00D362EA"/>
    <w:rsid w:val="00D42043"/>
    <w:rsid w:val="00D43818"/>
    <w:rsid w:val="00D4459C"/>
    <w:rsid w:val="00D45287"/>
    <w:rsid w:val="00D5163F"/>
    <w:rsid w:val="00D51C1D"/>
    <w:rsid w:val="00D51ECE"/>
    <w:rsid w:val="00D52301"/>
    <w:rsid w:val="00D5418A"/>
    <w:rsid w:val="00D611A8"/>
    <w:rsid w:val="00D630FC"/>
    <w:rsid w:val="00D63210"/>
    <w:rsid w:val="00D651CB"/>
    <w:rsid w:val="00D65226"/>
    <w:rsid w:val="00D66032"/>
    <w:rsid w:val="00D67DB7"/>
    <w:rsid w:val="00D70F21"/>
    <w:rsid w:val="00D71B51"/>
    <w:rsid w:val="00D720AD"/>
    <w:rsid w:val="00D72390"/>
    <w:rsid w:val="00D72780"/>
    <w:rsid w:val="00D731FA"/>
    <w:rsid w:val="00D80E7D"/>
    <w:rsid w:val="00D826CA"/>
    <w:rsid w:val="00D83F93"/>
    <w:rsid w:val="00D909E9"/>
    <w:rsid w:val="00D91059"/>
    <w:rsid w:val="00D9525D"/>
    <w:rsid w:val="00D97081"/>
    <w:rsid w:val="00D9709F"/>
    <w:rsid w:val="00D971FB"/>
    <w:rsid w:val="00D977DE"/>
    <w:rsid w:val="00DA0279"/>
    <w:rsid w:val="00DA0C62"/>
    <w:rsid w:val="00DA0DE9"/>
    <w:rsid w:val="00DA4C1C"/>
    <w:rsid w:val="00DA5369"/>
    <w:rsid w:val="00DA6E53"/>
    <w:rsid w:val="00DB0824"/>
    <w:rsid w:val="00DB189A"/>
    <w:rsid w:val="00DB4F4D"/>
    <w:rsid w:val="00DB58C4"/>
    <w:rsid w:val="00DC02F7"/>
    <w:rsid w:val="00DC07F2"/>
    <w:rsid w:val="00DC10AA"/>
    <w:rsid w:val="00DC1E21"/>
    <w:rsid w:val="00DC3F0A"/>
    <w:rsid w:val="00DC4A39"/>
    <w:rsid w:val="00DC4DF4"/>
    <w:rsid w:val="00DC584F"/>
    <w:rsid w:val="00DD0171"/>
    <w:rsid w:val="00DD0B1F"/>
    <w:rsid w:val="00DD1CAF"/>
    <w:rsid w:val="00DD2E63"/>
    <w:rsid w:val="00DD3818"/>
    <w:rsid w:val="00DD38F5"/>
    <w:rsid w:val="00DD41ED"/>
    <w:rsid w:val="00DD684E"/>
    <w:rsid w:val="00DD73CC"/>
    <w:rsid w:val="00DE060A"/>
    <w:rsid w:val="00DE1FFE"/>
    <w:rsid w:val="00DE2882"/>
    <w:rsid w:val="00DE34A8"/>
    <w:rsid w:val="00DE43D8"/>
    <w:rsid w:val="00DE59EA"/>
    <w:rsid w:val="00DE5ABE"/>
    <w:rsid w:val="00DE7656"/>
    <w:rsid w:val="00DF04C7"/>
    <w:rsid w:val="00DF38DA"/>
    <w:rsid w:val="00DF6CA2"/>
    <w:rsid w:val="00DF7D90"/>
    <w:rsid w:val="00E001C0"/>
    <w:rsid w:val="00E0117E"/>
    <w:rsid w:val="00E0376E"/>
    <w:rsid w:val="00E04C71"/>
    <w:rsid w:val="00E05ED3"/>
    <w:rsid w:val="00E068EF"/>
    <w:rsid w:val="00E10F4A"/>
    <w:rsid w:val="00E11FFB"/>
    <w:rsid w:val="00E1336B"/>
    <w:rsid w:val="00E217D9"/>
    <w:rsid w:val="00E22A9B"/>
    <w:rsid w:val="00E234B6"/>
    <w:rsid w:val="00E23875"/>
    <w:rsid w:val="00E2425C"/>
    <w:rsid w:val="00E25F89"/>
    <w:rsid w:val="00E275A3"/>
    <w:rsid w:val="00E27AF1"/>
    <w:rsid w:val="00E3260C"/>
    <w:rsid w:val="00E33C35"/>
    <w:rsid w:val="00E355D9"/>
    <w:rsid w:val="00E365A3"/>
    <w:rsid w:val="00E40B51"/>
    <w:rsid w:val="00E43E81"/>
    <w:rsid w:val="00E447FA"/>
    <w:rsid w:val="00E46A2C"/>
    <w:rsid w:val="00E50D85"/>
    <w:rsid w:val="00E51FE9"/>
    <w:rsid w:val="00E52E95"/>
    <w:rsid w:val="00E61D68"/>
    <w:rsid w:val="00E6337A"/>
    <w:rsid w:val="00E63DBD"/>
    <w:rsid w:val="00E6737D"/>
    <w:rsid w:val="00E70F12"/>
    <w:rsid w:val="00E73AB8"/>
    <w:rsid w:val="00E74791"/>
    <w:rsid w:val="00E74BFA"/>
    <w:rsid w:val="00E75574"/>
    <w:rsid w:val="00E75873"/>
    <w:rsid w:val="00E75FD3"/>
    <w:rsid w:val="00E7716F"/>
    <w:rsid w:val="00E773F9"/>
    <w:rsid w:val="00E77B04"/>
    <w:rsid w:val="00E8165D"/>
    <w:rsid w:val="00E8272E"/>
    <w:rsid w:val="00E832E8"/>
    <w:rsid w:val="00E84428"/>
    <w:rsid w:val="00E84813"/>
    <w:rsid w:val="00E84AC2"/>
    <w:rsid w:val="00E8543A"/>
    <w:rsid w:val="00E90CCE"/>
    <w:rsid w:val="00E92844"/>
    <w:rsid w:val="00E93BBC"/>
    <w:rsid w:val="00E9548A"/>
    <w:rsid w:val="00E96194"/>
    <w:rsid w:val="00EA095D"/>
    <w:rsid w:val="00EA0CCA"/>
    <w:rsid w:val="00EA4096"/>
    <w:rsid w:val="00EA4AEB"/>
    <w:rsid w:val="00EA5521"/>
    <w:rsid w:val="00EA5DE2"/>
    <w:rsid w:val="00EA67DC"/>
    <w:rsid w:val="00EA7041"/>
    <w:rsid w:val="00EB0A82"/>
    <w:rsid w:val="00EB1F5B"/>
    <w:rsid w:val="00EB60EB"/>
    <w:rsid w:val="00EB60EC"/>
    <w:rsid w:val="00EB6235"/>
    <w:rsid w:val="00EB630D"/>
    <w:rsid w:val="00EC09EA"/>
    <w:rsid w:val="00EC1462"/>
    <w:rsid w:val="00EC1894"/>
    <w:rsid w:val="00EC469C"/>
    <w:rsid w:val="00EC4EC6"/>
    <w:rsid w:val="00EC6260"/>
    <w:rsid w:val="00EC6395"/>
    <w:rsid w:val="00ED1D43"/>
    <w:rsid w:val="00ED5758"/>
    <w:rsid w:val="00ED5805"/>
    <w:rsid w:val="00ED5A6F"/>
    <w:rsid w:val="00ED6722"/>
    <w:rsid w:val="00ED6A62"/>
    <w:rsid w:val="00ED73B8"/>
    <w:rsid w:val="00ED7D53"/>
    <w:rsid w:val="00EE1F75"/>
    <w:rsid w:val="00EE4141"/>
    <w:rsid w:val="00EE426B"/>
    <w:rsid w:val="00EE4AAE"/>
    <w:rsid w:val="00EE5F4F"/>
    <w:rsid w:val="00EE60FA"/>
    <w:rsid w:val="00EF08C2"/>
    <w:rsid w:val="00EF1DDF"/>
    <w:rsid w:val="00EF2571"/>
    <w:rsid w:val="00EF31B6"/>
    <w:rsid w:val="00EF49F5"/>
    <w:rsid w:val="00F00F9A"/>
    <w:rsid w:val="00F01814"/>
    <w:rsid w:val="00F01F96"/>
    <w:rsid w:val="00F04979"/>
    <w:rsid w:val="00F108CF"/>
    <w:rsid w:val="00F13FFB"/>
    <w:rsid w:val="00F15BD2"/>
    <w:rsid w:val="00F17996"/>
    <w:rsid w:val="00F21F8F"/>
    <w:rsid w:val="00F23056"/>
    <w:rsid w:val="00F23A1B"/>
    <w:rsid w:val="00F24D98"/>
    <w:rsid w:val="00F25938"/>
    <w:rsid w:val="00F30567"/>
    <w:rsid w:val="00F30A58"/>
    <w:rsid w:val="00F3189F"/>
    <w:rsid w:val="00F36772"/>
    <w:rsid w:val="00F37B85"/>
    <w:rsid w:val="00F40517"/>
    <w:rsid w:val="00F4137B"/>
    <w:rsid w:val="00F42460"/>
    <w:rsid w:val="00F447EC"/>
    <w:rsid w:val="00F449B9"/>
    <w:rsid w:val="00F46307"/>
    <w:rsid w:val="00F507C8"/>
    <w:rsid w:val="00F5138E"/>
    <w:rsid w:val="00F602FE"/>
    <w:rsid w:val="00F61435"/>
    <w:rsid w:val="00F62FE2"/>
    <w:rsid w:val="00F64364"/>
    <w:rsid w:val="00F66095"/>
    <w:rsid w:val="00F6645F"/>
    <w:rsid w:val="00F66738"/>
    <w:rsid w:val="00F66C10"/>
    <w:rsid w:val="00F70C5E"/>
    <w:rsid w:val="00F73EA6"/>
    <w:rsid w:val="00F7437B"/>
    <w:rsid w:val="00F74AE9"/>
    <w:rsid w:val="00F75E68"/>
    <w:rsid w:val="00F76DEF"/>
    <w:rsid w:val="00F8315D"/>
    <w:rsid w:val="00F847F2"/>
    <w:rsid w:val="00F852F1"/>
    <w:rsid w:val="00F857C8"/>
    <w:rsid w:val="00F85E61"/>
    <w:rsid w:val="00F8606C"/>
    <w:rsid w:val="00F86EC3"/>
    <w:rsid w:val="00F90D81"/>
    <w:rsid w:val="00F915B0"/>
    <w:rsid w:val="00F92074"/>
    <w:rsid w:val="00F92971"/>
    <w:rsid w:val="00F94850"/>
    <w:rsid w:val="00F95323"/>
    <w:rsid w:val="00F9622A"/>
    <w:rsid w:val="00F9625A"/>
    <w:rsid w:val="00F96A76"/>
    <w:rsid w:val="00FA0CC5"/>
    <w:rsid w:val="00FA0D01"/>
    <w:rsid w:val="00FA2020"/>
    <w:rsid w:val="00FA2CBB"/>
    <w:rsid w:val="00FA3058"/>
    <w:rsid w:val="00FA40D2"/>
    <w:rsid w:val="00FA608E"/>
    <w:rsid w:val="00FA7117"/>
    <w:rsid w:val="00FB1B8B"/>
    <w:rsid w:val="00FB4187"/>
    <w:rsid w:val="00FB4CA4"/>
    <w:rsid w:val="00FB4DF5"/>
    <w:rsid w:val="00FB57BB"/>
    <w:rsid w:val="00FB6123"/>
    <w:rsid w:val="00FB7041"/>
    <w:rsid w:val="00FC1007"/>
    <w:rsid w:val="00FC1DD1"/>
    <w:rsid w:val="00FC3EFB"/>
    <w:rsid w:val="00FC4624"/>
    <w:rsid w:val="00FC4BAD"/>
    <w:rsid w:val="00FC5721"/>
    <w:rsid w:val="00FD3789"/>
    <w:rsid w:val="00FD522E"/>
    <w:rsid w:val="00FD5C1F"/>
    <w:rsid w:val="00FD6142"/>
    <w:rsid w:val="00FE4646"/>
    <w:rsid w:val="00FE4D53"/>
    <w:rsid w:val="00FE5144"/>
    <w:rsid w:val="00FE5ED0"/>
    <w:rsid w:val="00FE5F0D"/>
    <w:rsid w:val="00FF03B7"/>
    <w:rsid w:val="00FF095B"/>
    <w:rsid w:val="00FF18B1"/>
    <w:rsid w:val="00FF3CB1"/>
    <w:rsid w:val="00FF45AB"/>
    <w:rsid w:val="00FF4CAA"/>
    <w:rsid w:val="00FF6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9B4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3"/>
    <w:qFormat/>
    <w:pPr>
      <w:keepNext/>
      <w:keepLines/>
      <w:spacing w:before="360" w:after="140"/>
      <w:outlineLvl w:val="0"/>
    </w:pPr>
    <w:rPr>
      <w:rFonts w:asciiTheme="majorHAnsi" w:eastAsiaTheme="majorEastAsia" w:hAnsiTheme="majorHAnsi" w:cstheme="majorBidi"/>
      <w:b/>
      <w:bCs/>
      <w:caps/>
      <w:color w:val="4472C4" w:themeColor="accent1"/>
      <w:sz w:val="24"/>
    </w:rPr>
  </w:style>
  <w:style w:type="paragraph" w:styleId="Titolo2">
    <w:name w:val="heading 2"/>
    <w:basedOn w:val="Normale"/>
    <w:next w:val="Normale"/>
    <w:link w:val="Titolo2Carattere"/>
    <w:uiPriority w:val="3"/>
    <w:unhideWhenUsed/>
    <w:qFormat/>
    <w:pPr>
      <w:keepNext/>
      <w:keepLines/>
      <w:spacing w:before="200" w:after="120" w:line="240" w:lineRule="auto"/>
      <w:outlineLvl w:val="1"/>
    </w:pPr>
    <w:rPr>
      <w:rFonts w:asciiTheme="majorHAnsi" w:eastAsiaTheme="majorEastAsia" w:hAnsiTheme="majorHAnsi" w:cstheme="majorBidi"/>
      <w:color w:val="4472C4" w:themeColor="accent1"/>
      <w:sz w:val="24"/>
    </w:rPr>
  </w:style>
  <w:style w:type="paragraph" w:styleId="Titolo3">
    <w:name w:val="heading 3"/>
    <w:basedOn w:val="Normale"/>
    <w:next w:val="Normale"/>
    <w:link w:val="Titolo3Carattere"/>
    <w:uiPriority w:val="3"/>
    <w:unhideWhenUsed/>
    <w:qFormat/>
    <w:pPr>
      <w:keepNext/>
      <w:keepLines/>
      <w:spacing w:before="120" w:after="0"/>
      <w:outlineLvl w:val="2"/>
    </w:pPr>
    <w:rPr>
      <w:b/>
      <w:bCs/>
    </w:rPr>
  </w:style>
  <w:style w:type="paragraph" w:styleId="Titolo4">
    <w:name w:val="heading 4"/>
    <w:basedOn w:val="Normale"/>
    <w:next w:val="Normale"/>
    <w:link w:val="Titolo4Carattere"/>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styleId="Titolo">
    <w:name w:val="Title"/>
    <w:basedOn w:val="Normale"/>
    <w:link w:val="TitoloCarattere"/>
    <w:uiPriority w:val="10"/>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oloCarattere">
    <w:name w:val="Titolo Carattere"/>
    <w:basedOn w:val="Carpredefinitoparagrafo"/>
    <w:link w:val="Titolo"/>
    <w:uiPriority w:val="10"/>
    <w:rPr>
      <w:rFonts w:asciiTheme="majorHAnsi" w:eastAsiaTheme="majorEastAsia" w:hAnsiTheme="majorHAnsi" w:cstheme="majorBidi"/>
      <w:b/>
      <w:bCs/>
      <w:caps/>
      <w:kern w:val="28"/>
      <w:sz w:val="78"/>
    </w:rPr>
  </w:style>
  <w:style w:type="paragraph" w:styleId="Sottotitolo">
    <w:name w:val="Subtitle"/>
    <w:basedOn w:val="Normale"/>
    <w:next w:val="Normale"/>
    <w:link w:val="SottotitoloCarattere"/>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ttotitoloCarattere">
    <w:name w:val="Sottotitolo Carattere"/>
    <w:basedOn w:val="Carpredefinitoparagrafo"/>
    <w:link w:val="Sottotitolo"/>
    <w:uiPriority w:val="2"/>
    <w:rPr>
      <w:rFonts w:asciiTheme="majorHAnsi" w:eastAsiaTheme="majorEastAsia" w:hAnsiTheme="majorHAnsi" w:cstheme="majorBidi"/>
      <w:color w:val="5A5A5A" w:themeColor="text1" w:themeTint="A5"/>
      <w:sz w:val="24"/>
    </w:rPr>
  </w:style>
  <w:style w:type="table" w:styleId="Grigliatabella">
    <w:name w:val="Table Grid"/>
    <w:basedOn w:val="Tabellanormale"/>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3"/>
    <w:rPr>
      <w:rFonts w:asciiTheme="majorHAnsi" w:eastAsiaTheme="majorEastAsia" w:hAnsiTheme="majorHAnsi" w:cstheme="majorBidi"/>
      <w:b/>
      <w:bCs/>
      <w:caps/>
      <w:color w:val="4472C4" w:themeColor="accent1"/>
      <w:sz w:val="24"/>
    </w:rPr>
  </w:style>
  <w:style w:type="paragraph" w:customStyle="1" w:styleId="Intestazioneblocco">
    <w:name w:val="Intestazione blocco"/>
    <w:basedOn w:val="Normale"/>
    <w:next w:val="Testodelblocco"/>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Didascalia">
    <w:name w:val="caption"/>
    <w:basedOn w:val="Normale"/>
    <w:next w:val="Normale"/>
    <w:uiPriority w:val="3"/>
    <w:unhideWhenUsed/>
    <w:qFormat/>
    <w:pPr>
      <w:spacing w:before="120" w:after="0" w:line="240" w:lineRule="auto"/>
    </w:pPr>
    <w:rPr>
      <w:i/>
      <w:iCs/>
      <w:color w:val="595959" w:themeColor="text1" w:themeTint="A6"/>
      <w:sz w:val="14"/>
    </w:rPr>
  </w:style>
  <w:style w:type="paragraph" w:styleId="Testodelblocco">
    <w:name w:val="Block Text"/>
    <w:basedOn w:val="Normale"/>
    <w:uiPriority w:val="3"/>
    <w:unhideWhenUsed/>
    <w:qFormat/>
    <w:pPr>
      <w:spacing w:after="180" w:line="312" w:lineRule="auto"/>
      <w:ind w:left="288" w:right="288"/>
    </w:pPr>
    <w:rPr>
      <w:color w:val="FFFFFF" w:themeColor="background1"/>
      <w:sz w:val="22"/>
    </w:rPr>
  </w:style>
  <w:style w:type="character" w:customStyle="1" w:styleId="Titolo2Carattere">
    <w:name w:val="Titolo 2 Carattere"/>
    <w:basedOn w:val="Carpredefinitoparagrafo"/>
    <w:link w:val="Titolo2"/>
    <w:uiPriority w:val="3"/>
    <w:rPr>
      <w:rFonts w:asciiTheme="majorHAnsi" w:eastAsiaTheme="majorEastAsia" w:hAnsiTheme="majorHAnsi" w:cstheme="majorBidi"/>
      <w:color w:val="4472C4" w:themeColor="accent1"/>
      <w:sz w:val="24"/>
    </w:rPr>
  </w:style>
  <w:style w:type="character" w:customStyle="1" w:styleId="Titolo3Carattere">
    <w:name w:val="Titolo 3 Carattere"/>
    <w:basedOn w:val="Carpredefinitoparagrafo"/>
    <w:link w:val="Titolo3"/>
    <w:uiPriority w:val="3"/>
    <w:rPr>
      <w:b/>
      <w:bCs/>
    </w:rPr>
  </w:style>
  <w:style w:type="paragraph" w:styleId="Citazione">
    <w:name w:val="Quote"/>
    <w:basedOn w:val="Normale"/>
    <w:next w:val="Normale"/>
    <w:link w:val="CitazioneCarattere"/>
    <w:uiPriority w:val="3"/>
    <w:qFormat/>
    <w:pPr>
      <w:pBdr>
        <w:top w:val="single" w:sz="6" w:space="4" w:color="4472C4" w:themeColor="accent1"/>
        <w:bottom w:val="single" w:sz="6" w:space="4" w:color="4472C4" w:themeColor="accent1"/>
      </w:pBdr>
      <w:spacing w:before="200"/>
      <w:ind w:left="864" w:right="864"/>
      <w:jc w:val="center"/>
    </w:pPr>
    <w:rPr>
      <w:i/>
      <w:iCs/>
      <w:sz w:val="28"/>
    </w:rPr>
  </w:style>
  <w:style w:type="character" w:customStyle="1" w:styleId="CitazioneCarattere">
    <w:name w:val="Citazione Carattere"/>
    <w:basedOn w:val="Carpredefinitoparagrafo"/>
    <w:link w:val="Citazione"/>
    <w:uiPriority w:val="3"/>
    <w:rPr>
      <w:i/>
      <w:iCs/>
      <w:color w:val="404040" w:themeColor="text1" w:themeTint="BF"/>
      <w:sz w:val="28"/>
    </w:rPr>
  </w:style>
  <w:style w:type="character" w:customStyle="1" w:styleId="Titolo4Carattere">
    <w:name w:val="Titolo 4 Carattere"/>
    <w:basedOn w:val="Carpredefinitoparagrafo"/>
    <w:link w:val="Titolo4"/>
    <w:uiPriority w:val="3"/>
    <w:semiHidden/>
    <w:rPr>
      <w:rFonts w:asciiTheme="majorHAnsi" w:eastAsiaTheme="majorEastAsia" w:hAnsiTheme="majorHAnsi" w:cstheme="majorBidi"/>
    </w:rPr>
  </w:style>
  <w:style w:type="paragraph" w:styleId="Nessunaspaziatura">
    <w:name w:val="No Spacing"/>
    <w:uiPriority w:val="99"/>
    <w:qFormat/>
    <w:pPr>
      <w:spacing w:after="0" w:line="240" w:lineRule="auto"/>
    </w:pPr>
  </w:style>
  <w:style w:type="paragraph" w:customStyle="1" w:styleId="Informazionicontatto">
    <w:name w:val="Informazioni contatto"/>
    <w:basedOn w:val="Normale"/>
    <w:uiPriority w:val="4"/>
    <w:qFormat/>
    <w:pPr>
      <w:spacing w:after="0"/>
    </w:pPr>
  </w:style>
  <w:style w:type="character" w:styleId="Enfasigrassetto">
    <w:name w:val="Strong"/>
    <w:basedOn w:val="Carpredefinitoparagrafo"/>
    <w:uiPriority w:val="22"/>
    <w:unhideWhenUsed/>
    <w:qFormat/>
    <w:rPr>
      <w:b/>
      <w:bCs/>
      <w:color w:val="5A5A5A" w:themeColor="text1" w:themeTint="A5"/>
    </w:rPr>
  </w:style>
  <w:style w:type="paragraph" w:customStyle="1" w:styleId="Intestazionecontatto">
    <w:name w:val="Intestazione contatto"/>
    <w:basedOn w:val="Normale"/>
    <w:uiPriority w:val="4"/>
    <w:qFormat/>
    <w:pPr>
      <w:spacing w:before="320" w:line="240" w:lineRule="auto"/>
    </w:pPr>
    <w:rPr>
      <w:rFonts w:asciiTheme="majorHAnsi" w:eastAsiaTheme="majorEastAsia" w:hAnsiTheme="majorHAnsi" w:cstheme="majorBidi"/>
      <w:color w:val="4472C4" w:themeColor="accent1"/>
      <w:sz w:val="24"/>
    </w:rPr>
  </w:style>
  <w:style w:type="paragraph" w:customStyle="1" w:styleId="Organizzazione">
    <w:name w:val="Organizzazione"/>
    <w:basedOn w:val="Normale"/>
    <w:uiPriority w:val="3"/>
    <w:qFormat/>
    <w:pPr>
      <w:spacing w:after="0"/>
    </w:pPr>
    <w:rPr>
      <w:rFonts w:asciiTheme="majorHAnsi" w:eastAsiaTheme="majorEastAsia" w:hAnsiTheme="majorHAnsi" w:cstheme="majorBidi"/>
      <w:b/>
      <w:bCs/>
      <w:caps/>
      <w:color w:val="4472C4" w:themeColor="accent1"/>
      <w:sz w:val="22"/>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rPr>
  </w:style>
  <w:style w:type="character" w:customStyle="1" w:styleId="TestofumettoCarattere">
    <w:name w:val="Testo fumetto Carattere"/>
    <w:basedOn w:val="Carpredefinitoparagrafo"/>
    <w:link w:val="Testofumetto"/>
    <w:uiPriority w:val="99"/>
    <w:semiHidden/>
    <w:rPr>
      <w:rFonts w:ascii="Segoe UI" w:hAnsi="Segoe UI" w:cs="Segoe UI"/>
      <w:sz w:val="18"/>
    </w:rPr>
  </w:style>
  <w:style w:type="character" w:styleId="Enfasiintensa">
    <w:name w:val="Intense Emphasis"/>
    <w:basedOn w:val="Carpredefinitoparagrafo"/>
    <w:uiPriority w:val="21"/>
    <w:qFormat/>
    <w:rsid w:val="008A7EA0"/>
    <w:rPr>
      <w:b/>
      <w:bCs/>
      <w:i/>
      <w:iCs/>
      <w:color w:val="4472C4" w:themeColor="accent1"/>
    </w:rPr>
  </w:style>
  <w:style w:type="paragraph" w:styleId="Citazioneintensa">
    <w:name w:val="Intense Quote"/>
    <w:basedOn w:val="Normale"/>
    <w:next w:val="Normale"/>
    <w:link w:val="CitazioneintensaCarattere"/>
    <w:uiPriority w:val="30"/>
    <w:qFormat/>
    <w:rsid w:val="009F325D"/>
    <w:pPr>
      <w:pBdr>
        <w:bottom w:val="single" w:sz="4" w:space="4" w:color="4472C4" w:themeColor="accent1"/>
      </w:pBdr>
      <w:spacing w:before="200" w:after="280" w:line="276" w:lineRule="auto"/>
      <w:ind w:left="936" w:right="936"/>
    </w:pPr>
    <w:rPr>
      <w:b/>
      <w:bCs/>
      <w:i/>
      <w:iCs/>
      <w:color w:val="4472C4" w:themeColor="accent1"/>
      <w:kern w:val="0"/>
      <w:sz w:val="22"/>
      <w:szCs w:val="22"/>
      <w:lang w:val="it-IT" w:eastAsia="en-US"/>
      <w14:ligatures w14:val="none"/>
    </w:rPr>
  </w:style>
  <w:style w:type="character" w:customStyle="1" w:styleId="CitazioneintensaCarattere">
    <w:name w:val="Citazione intensa Carattere"/>
    <w:basedOn w:val="Carpredefinitoparagrafo"/>
    <w:link w:val="Citazioneintensa"/>
    <w:uiPriority w:val="30"/>
    <w:rsid w:val="009F325D"/>
    <w:rPr>
      <w:b/>
      <w:bCs/>
      <w:i/>
      <w:iCs/>
      <w:color w:val="4472C4" w:themeColor="accent1"/>
      <w:kern w:val="0"/>
      <w:sz w:val="22"/>
      <w:szCs w:val="22"/>
      <w:lang w:val="it-IT" w:eastAsia="en-US"/>
      <w14:ligatures w14:val="none"/>
    </w:rPr>
  </w:style>
  <w:style w:type="paragraph" w:styleId="NormaleWeb">
    <w:name w:val="Normal (Web)"/>
    <w:basedOn w:val="Normale"/>
    <w:uiPriority w:val="99"/>
    <w:semiHidden/>
    <w:unhideWhenUsed/>
    <w:rsid w:val="00DF6CA2"/>
    <w:pPr>
      <w:spacing w:before="100" w:beforeAutospacing="1" w:after="100" w:afterAutospacing="1" w:line="240" w:lineRule="auto"/>
    </w:pPr>
    <w:rPr>
      <w:rFonts w:ascii="Times New Roman" w:eastAsia="Times New Roman" w:hAnsi="Times New Roman" w:cs="Times New Roman"/>
      <w:color w:val="auto"/>
      <w:kern w:val="0"/>
      <w:sz w:val="24"/>
      <w:szCs w:val="24"/>
      <w:lang w:val="it-IT" w:eastAsia="it-IT"/>
      <w14:ligatures w14:val="none"/>
    </w:rPr>
  </w:style>
  <w:style w:type="character" w:styleId="Collegamentoipertestuale">
    <w:name w:val="Hyperlink"/>
    <w:basedOn w:val="Carpredefinitoparagrafo"/>
    <w:uiPriority w:val="99"/>
    <w:unhideWhenUsed/>
    <w:rsid w:val="005D76C9"/>
    <w:rPr>
      <w:color w:val="0000FF"/>
      <w:u w:val="single"/>
    </w:rPr>
  </w:style>
  <w:style w:type="character" w:styleId="Collegamentovisitato">
    <w:name w:val="FollowedHyperlink"/>
    <w:basedOn w:val="Carpredefinitoparagrafo"/>
    <w:uiPriority w:val="99"/>
    <w:semiHidden/>
    <w:unhideWhenUsed/>
    <w:rsid w:val="005D76C9"/>
    <w:rPr>
      <w:color w:val="800080"/>
      <w:u w:val="single"/>
    </w:rPr>
  </w:style>
  <w:style w:type="paragraph" w:customStyle="1" w:styleId="msonormal0">
    <w:name w:val="msonormal"/>
    <w:basedOn w:val="Normale"/>
    <w:rsid w:val="005D76C9"/>
    <w:pPr>
      <w:spacing w:before="100" w:beforeAutospacing="1" w:after="100" w:afterAutospacing="1" w:line="240" w:lineRule="auto"/>
    </w:pPr>
    <w:rPr>
      <w:rFonts w:ascii="Times New Roman" w:eastAsia="Times New Roman" w:hAnsi="Times New Roman" w:cs="Times New Roman"/>
      <w:color w:val="auto"/>
      <w:kern w:val="0"/>
      <w:sz w:val="24"/>
      <w:szCs w:val="24"/>
      <w:lang w:val="it-IT" w:eastAsia="it-IT"/>
      <w14:ligatures w14:val="none"/>
    </w:rPr>
  </w:style>
  <w:style w:type="paragraph" w:customStyle="1" w:styleId="xl67">
    <w:name w:val="xl67"/>
    <w:basedOn w:val="Normale"/>
    <w:rsid w:val="005D76C9"/>
    <w:pPr>
      <w:spacing w:before="100" w:beforeAutospacing="1" w:after="100" w:afterAutospacing="1" w:line="240" w:lineRule="auto"/>
    </w:pPr>
    <w:rPr>
      <w:rFonts w:ascii="Times New Roman" w:eastAsia="Times New Roman" w:hAnsi="Times New Roman" w:cs="Times New Roman"/>
      <w:color w:val="auto"/>
      <w:kern w:val="0"/>
      <w:sz w:val="18"/>
      <w:szCs w:val="18"/>
      <w:lang w:val="it-IT" w:eastAsia="it-IT"/>
      <w14:ligatures w14:val="none"/>
    </w:rPr>
  </w:style>
  <w:style w:type="paragraph" w:customStyle="1" w:styleId="xl68">
    <w:name w:val="xl68"/>
    <w:basedOn w:val="Normale"/>
    <w:rsid w:val="005D76C9"/>
    <w:pP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18"/>
      <w:szCs w:val="18"/>
      <w:lang w:val="it-IT" w:eastAsia="it-IT"/>
      <w14:ligatures w14:val="none"/>
    </w:rPr>
  </w:style>
  <w:style w:type="paragraph" w:customStyle="1" w:styleId="xl69">
    <w:name w:val="xl69"/>
    <w:basedOn w:val="Normale"/>
    <w:rsid w:val="005D76C9"/>
    <w:pP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auto"/>
      <w:kern w:val="0"/>
      <w:sz w:val="18"/>
      <w:szCs w:val="18"/>
      <w:lang w:val="it-IT" w:eastAsia="it-IT"/>
      <w14:ligatures w14:val="none"/>
    </w:rPr>
  </w:style>
  <w:style w:type="paragraph" w:customStyle="1" w:styleId="xl70">
    <w:name w:val="xl70"/>
    <w:basedOn w:val="Normale"/>
    <w:rsid w:val="005D76C9"/>
    <w:pPr>
      <w:spacing w:before="100" w:beforeAutospacing="1" w:after="100" w:afterAutospacing="1" w:line="240" w:lineRule="auto"/>
    </w:pPr>
    <w:rPr>
      <w:rFonts w:ascii="Times New Roman" w:eastAsia="Times New Roman" w:hAnsi="Times New Roman" w:cs="Times New Roman"/>
      <w:color w:val="auto"/>
      <w:kern w:val="0"/>
      <w:sz w:val="18"/>
      <w:szCs w:val="18"/>
      <w:lang w:val="it-IT" w:eastAsia="it-IT"/>
      <w14:ligatures w14:val="none"/>
    </w:rPr>
  </w:style>
  <w:style w:type="paragraph" w:customStyle="1" w:styleId="xl71">
    <w:name w:val="xl71"/>
    <w:basedOn w:val="Normale"/>
    <w:rsid w:val="005D76C9"/>
    <w:pP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18"/>
      <w:szCs w:val="18"/>
      <w:lang w:val="it-IT" w:eastAsia="it-IT"/>
      <w14:ligatures w14:val="none"/>
    </w:rPr>
  </w:style>
  <w:style w:type="paragraph" w:customStyle="1" w:styleId="xl72">
    <w:name w:val="xl72"/>
    <w:basedOn w:val="Normale"/>
    <w:rsid w:val="005D76C9"/>
    <w:pP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auto"/>
      <w:kern w:val="0"/>
      <w:sz w:val="18"/>
      <w:szCs w:val="18"/>
      <w:lang w:val="it-IT" w:eastAsia="it-IT"/>
      <w14:ligatures w14:val="none"/>
    </w:rPr>
  </w:style>
  <w:style w:type="character" w:customStyle="1" w:styleId="Menzionenonrisolta1">
    <w:name w:val="Menzione non risolta1"/>
    <w:basedOn w:val="Carpredefinitoparagrafo"/>
    <w:uiPriority w:val="99"/>
    <w:semiHidden/>
    <w:unhideWhenUsed/>
    <w:rsid w:val="00C64DC5"/>
    <w:rPr>
      <w:color w:val="808080"/>
      <w:shd w:val="clear" w:color="auto" w:fill="E6E6E6"/>
    </w:rPr>
  </w:style>
  <w:style w:type="paragraph" w:customStyle="1" w:styleId="xl73">
    <w:name w:val="xl73"/>
    <w:basedOn w:val="Normale"/>
    <w:rsid w:val="00C54789"/>
    <w:pP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24"/>
      <w:szCs w:val="24"/>
      <w:lang w:val="it-IT" w:eastAsia="it-IT"/>
      <w14:ligatures w14:val="none"/>
    </w:rPr>
  </w:style>
  <w:style w:type="paragraph" w:customStyle="1" w:styleId="xl74">
    <w:name w:val="xl74"/>
    <w:basedOn w:val="Normale"/>
    <w:rsid w:val="00377087"/>
    <w:pP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16"/>
      <w:szCs w:val="16"/>
      <w:lang w:val="it-IT" w:eastAsia="it-IT"/>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3"/>
    <w:qFormat/>
    <w:pPr>
      <w:keepNext/>
      <w:keepLines/>
      <w:spacing w:before="360" w:after="140"/>
      <w:outlineLvl w:val="0"/>
    </w:pPr>
    <w:rPr>
      <w:rFonts w:asciiTheme="majorHAnsi" w:eastAsiaTheme="majorEastAsia" w:hAnsiTheme="majorHAnsi" w:cstheme="majorBidi"/>
      <w:b/>
      <w:bCs/>
      <w:caps/>
      <w:color w:val="4472C4" w:themeColor="accent1"/>
      <w:sz w:val="24"/>
    </w:rPr>
  </w:style>
  <w:style w:type="paragraph" w:styleId="Titolo2">
    <w:name w:val="heading 2"/>
    <w:basedOn w:val="Normale"/>
    <w:next w:val="Normale"/>
    <w:link w:val="Titolo2Carattere"/>
    <w:uiPriority w:val="3"/>
    <w:unhideWhenUsed/>
    <w:qFormat/>
    <w:pPr>
      <w:keepNext/>
      <w:keepLines/>
      <w:spacing w:before="200" w:after="120" w:line="240" w:lineRule="auto"/>
      <w:outlineLvl w:val="1"/>
    </w:pPr>
    <w:rPr>
      <w:rFonts w:asciiTheme="majorHAnsi" w:eastAsiaTheme="majorEastAsia" w:hAnsiTheme="majorHAnsi" w:cstheme="majorBidi"/>
      <w:color w:val="4472C4" w:themeColor="accent1"/>
      <w:sz w:val="24"/>
    </w:rPr>
  </w:style>
  <w:style w:type="paragraph" w:styleId="Titolo3">
    <w:name w:val="heading 3"/>
    <w:basedOn w:val="Normale"/>
    <w:next w:val="Normale"/>
    <w:link w:val="Titolo3Carattere"/>
    <w:uiPriority w:val="3"/>
    <w:unhideWhenUsed/>
    <w:qFormat/>
    <w:pPr>
      <w:keepNext/>
      <w:keepLines/>
      <w:spacing w:before="120" w:after="0"/>
      <w:outlineLvl w:val="2"/>
    </w:pPr>
    <w:rPr>
      <w:b/>
      <w:bCs/>
    </w:rPr>
  </w:style>
  <w:style w:type="paragraph" w:styleId="Titolo4">
    <w:name w:val="heading 4"/>
    <w:basedOn w:val="Normale"/>
    <w:next w:val="Normale"/>
    <w:link w:val="Titolo4Carattere"/>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styleId="Titolo">
    <w:name w:val="Title"/>
    <w:basedOn w:val="Normale"/>
    <w:link w:val="TitoloCarattere"/>
    <w:uiPriority w:val="10"/>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oloCarattere">
    <w:name w:val="Titolo Carattere"/>
    <w:basedOn w:val="Carpredefinitoparagrafo"/>
    <w:link w:val="Titolo"/>
    <w:uiPriority w:val="10"/>
    <w:rPr>
      <w:rFonts w:asciiTheme="majorHAnsi" w:eastAsiaTheme="majorEastAsia" w:hAnsiTheme="majorHAnsi" w:cstheme="majorBidi"/>
      <w:b/>
      <w:bCs/>
      <w:caps/>
      <w:kern w:val="28"/>
      <w:sz w:val="78"/>
    </w:rPr>
  </w:style>
  <w:style w:type="paragraph" w:styleId="Sottotitolo">
    <w:name w:val="Subtitle"/>
    <w:basedOn w:val="Normale"/>
    <w:next w:val="Normale"/>
    <w:link w:val="SottotitoloCarattere"/>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ttotitoloCarattere">
    <w:name w:val="Sottotitolo Carattere"/>
    <w:basedOn w:val="Carpredefinitoparagrafo"/>
    <w:link w:val="Sottotitolo"/>
    <w:uiPriority w:val="2"/>
    <w:rPr>
      <w:rFonts w:asciiTheme="majorHAnsi" w:eastAsiaTheme="majorEastAsia" w:hAnsiTheme="majorHAnsi" w:cstheme="majorBidi"/>
      <w:color w:val="5A5A5A" w:themeColor="text1" w:themeTint="A5"/>
      <w:sz w:val="24"/>
    </w:rPr>
  </w:style>
  <w:style w:type="table" w:styleId="Grigliatabella">
    <w:name w:val="Table Grid"/>
    <w:basedOn w:val="Tabellanormale"/>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3"/>
    <w:rPr>
      <w:rFonts w:asciiTheme="majorHAnsi" w:eastAsiaTheme="majorEastAsia" w:hAnsiTheme="majorHAnsi" w:cstheme="majorBidi"/>
      <w:b/>
      <w:bCs/>
      <w:caps/>
      <w:color w:val="4472C4" w:themeColor="accent1"/>
      <w:sz w:val="24"/>
    </w:rPr>
  </w:style>
  <w:style w:type="paragraph" w:customStyle="1" w:styleId="Intestazioneblocco">
    <w:name w:val="Intestazione blocco"/>
    <w:basedOn w:val="Normale"/>
    <w:next w:val="Testodelblocco"/>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Didascalia">
    <w:name w:val="caption"/>
    <w:basedOn w:val="Normale"/>
    <w:next w:val="Normale"/>
    <w:uiPriority w:val="3"/>
    <w:unhideWhenUsed/>
    <w:qFormat/>
    <w:pPr>
      <w:spacing w:before="120" w:after="0" w:line="240" w:lineRule="auto"/>
    </w:pPr>
    <w:rPr>
      <w:i/>
      <w:iCs/>
      <w:color w:val="595959" w:themeColor="text1" w:themeTint="A6"/>
      <w:sz w:val="14"/>
    </w:rPr>
  </w:style>
  <w:style w:type="paragraph" w:styleId="Testodelblocco">
    <w:name w:val="Block Text"/>
    <w:basedOn w:val="Normale"/>
    <w:uiPriority w:val="3"/>
    <w:unhideWhenUsed/>
    <w:qFormat/>
    <w:pPr>
      <w:spacing w:after="180" w:line="312" w:lineRule="auto"/>
      <w:ind w:left="288" w:right="288"/>
    </w:pPr>
    <w:rPr>
      <w:color w:val="FFFFFF" w:themeColor="background1"/>
      <w:sz w:val="22"/>
    </w:rPr>
  </w:style>
  <w:style w:type="character" w:customStyle="1" w:styleId="Titolo2Carattere">
    <w:name w:val="Titolo 2 Carattere"/>
    <w:basedOn w:val="Carpredefinitoparagrafo"/>
    <w:link w:val="Titolo2"/>
    <w:uiPriority w:val="3"/>
    <w:rPr>
      <w:rFonts w:asciiTheme="majorHAnsi" w:eastAsiaTheme="majorEastAsia" w:hAnsiTheme="majorHAnsi" w:cstheme="majorBidi"/>
      <w:color w:val="4472C4" w:themeColor="accent1"/>
      <w:sz w:val="24"/>
    </w:rPr>
  </w:style>
  <w:style w:type="character" w:customStyle="1" w:styleId="Titolo3Carattere">
    <w:name w:val="Titolo 3 Carattere"/>
    <w:basedOn w:val="Carpredefinitoparagrafo"/>
    <w:link w:val="Titolo3"/>
    <w:uiPriority w:val="3"/>
    <w:rPr>
      <w:b/>
      <w:bCs/>
    </w:rPr>
  </w:style>
  <w:style w:type="paragraph" w:styleId="Citazione">
    <w:name w:val="Quote"/>
    <w:basedOn w:val="Normale"/>
    <w:next w:val="Normale"/>
    <w:link w:val="CitazioneCarattere"/>
    <w:uiPriority w:val="3"/>
    <w:qFormat/>
    <w:pPr>
      <w:pBdr>
        <w:top w:val="single" w:sz="6" w:space="4" w:color="4472C4" w:themeColor="accent1"/>
        <w:bottom w:val="single" w:sz="6" w:space="4" w:color="4472C4" w:themeColor="accent1"/>
      </w:pBdr>
      <w:spacing w:before="200"/>
      <w:ind w:left="864" w:right="864"/>
      <w:jc w:val="center"/>
    </w:pPr>
    <w:rPr>
      <w:i/>
      <w:iCs/>
      <w:sz w:val="28"/>
    </w:rPr>
  </w:style>
  <w:style w:type="character" w:customStyle="1" w:styleId="CitazioneCarattere">
    <w:name w:val="Citazione Carattere"/>
    <w:basedOn w:val="Carpredefinitoparagrafo"/>
    <w:link w:val="Citazione"/>
    <w:uiPriority w:val="3"/>
    <w:rPr>
      <w:i/>
      <w:iCs/>
      <w:color w:val="404040" w:themeColor="text1" w:themeTint="BF"/>
      <w:sz w:val="28"/>
    </w:rPr>
  </w:style>
  <w:style w:type="character" w:customStyle="1" w:styleId="Titolo4Carattere">
    <w:name w:val="Titolo 4 Carattere"/>
    <w:basedOn w:val="Carpredefinitoparagrafo"/>
    <w:link w:val="Titolo4"/>
    <w:uiPriority w:val="3"/>
    <w:semiHidden/>
    <w:rPr>
      <w:rFonts w:asciiTheme="majorHAnsi" w:eastAsiaTheme="majorEastAsia" w:hAnsiTheme="majorHAnsi" w:cstheme="majorBidi"/>
    </w:rPr>
  </w:style>
  <w:style w:type="paragraph" w:styleId="Nessunaspaziatura">
    <w:name w:val="No Spacing"/>
    <w:uiPriority w:val="99"/>
    <w:qFormat/>
    <w:pPr>
      <w:spacing w:after="0" w:line="240" w:lineRule="auto"/>
    </w:pPr>
  </w:style>
  <w:style w:type="paragraph" w:customStyle="1" w:styleId="Informazionicontatto">
    <w:name w:val="Informazioni contatto"/>
    <w:basedOn w:val="Normale"/>
    <w:uiPriority w:val="4"/>
    <w:qFormat/>
    <w:pPr>
      <w:spacing w:after="0"/>
    </w:pPr>
  </w:style>
  <w:style w:type="character" w:styleId="Enfasigrassetto">
    <w:name w:val="Strong"/>
    <w:basedOn w:val="Carpredefinitoparagrafo"/>
    <w:uiPriority w:val="22"/>
    <w:unhideWhenUsed/>
    <w:qFormat/>
    <w:rPr>
      <w:b/>
      <w:bCs/>
      <w:color w:val="5A5A5A" w:themeColor="text1" w:themeTint="A5"/>
    </w:rPr>
  </w:style>
  <w:style w:type="paragraph" w:customStyle="1" w:styleId="Intestazionecontatto">
    <w:name w:val="Intestazione contatto"/>
    <w:basedOn w:val="Normale"/>
    <w:uiPriority w:val="4"/>
    <w:qFormat/>
    <w:pPr>
      <w:spacing w:before="320" w:line="240" w:lineRule="auto"/>
    </w:pPr>
    <w:rPr>
      <w:rFonts w:asciiTheme="majorHAnsi" w:eastAsiaTheme="majorEastAsia" w:hAnsiTheme="majorHAnsi" w:cstheme="majorBidi"/>
      <w:color w:val="4472C4" w:themeColor="accent1"/>
      <w:sz w:val="24"/>
    </w:rPr>
  </w:style>
  <w:style w:type="paragraph" w:customStyle="1" w:styleId="Organizzazione">
    <w:name w:val="Organizzazione"/>
    <w:basedOn w:val="Normale"/>
    <w:uiPriority w:val="3"/>
    <w:qFormat/>
    <w:pPr>
      <w:spacing w:after="0"/>
    </w:pPr>
    <w:rPr>
      <w:rFonts w:asciiTheme="majorHAnsi" w:eastAsiaTheme="majorEastAsia" w:hAnsiTheme="majorHAnsi" w:cstheme="majorBidi"/>
      <w:b/>
      <w:bCs/>
      <w:caps/>
      <w:color w:val="4472C4" w:themeColor="accent1"/>
      <w:sz w:val="22"/>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rPr>
  </w:style>
  <w:style w:type="character" w:customStyle="1" w:styleId="TestofumettoCarattere">
    <w:name w:val="Testo fumetto Carattere"/>
    <w:basedOn w:val="Carpredefinitoparagrafo"/>
    <w:link w:val="Testofumetto"/>
    <w:uiPriority w:val="99"/>
    <w:semiHidden/>
    <w:rPr>
      <w:rFonts w:ascii="Segoe UI" w:hAnsi="Segoe UI" w:cs="Segoe UI"/>
      <w:sz w:val="18"/>
    </w:rPr>
  </w:style>
  <w:style w:type="character" w:styleId="Enfasiintensa">
    <w:name w:val="Intense Emphasis"/>
    <w:basedOn w:val="Carpredefinitoparagrafo"/>
    <w:uiPriority w:val="21"/>
    <w:qFormat/>
    <w:rsid w:val="008A7EA0"/>
    <w:rPr>
      <w:b/>
      <w:bCs/>
      <w:i/>
      <w:iCs/>
      <w:color w:val="4472C4" w:themeColor="accent1"/>
    </w:rPr>
  </w:style>
  <w:style w:type="paragraph" w:styleId="Citazioneintensa">
    <w:name w:val="Intense Quote"/>
    <w:basedOn w:val="Normale"/>
    <w:next w:val="Normale"/>
    <w:link w:val="CitazioneintensaCarattere"/>
    <w:uiPriority w:val="30"/>
    <w:qFormat/>
    <w:rsid w:val="009F325D"/>
    <w:pPr>
      <w:pBdr>
        <w:bottom w:val="single" w:sz="4" w:space="4" w:color="4472C4" w:themeColor="accent1"/>
      </w:pBdr>
      <w:spacing w:before="200" w:after="280" w:line="276" w:lineRule="auto"/>
      <w:ind w:left="936" w:right="936"/>
    </w:pPr>
    <w:rPr>
      <w:b/>
      <w:bCs/>
      <w:i/>
      <w:iCs/>
      <w:color w:val="4472C4" w:themeColor="accent1"/>
      <w:kern w:val="0"/>
      <w:sz w:val="22"/>
      <w:szCs w:val="22"/>
      <w:lang w:val="it-IT" w:eastAsia="en-US"/>
      <w14:ligatures w14:val="none"/>
    </w:rPr>
  </w:style>
  <w:style w:type="character" w:customStyle="1" w:styleId="CitazioneintensaCarattere">
    <w:name w:val="Citazione intensa Carattere"/>
    <w:basedOn w:val="Carpredefinitoparagrafo"/>
    <w:link w:val="Citazioneintensa"/>
    <w:uiPriority w:val="30"/>
    <w:rsid w:val="009F325D"/>
    <w:rPr>
      <w:b/>
      <w:bCs/>
      <w:i/>
      <w:iCs/>
      <w:color w:val="4472C4" w:themeColor="accent1"/>
      <w:kern w:val="0"/>
      <w:sz w:val="22"/>
      <w:szCs w:val="22"/>
      <w:lang w:val="it-IT" w:eastAsia="en-US"/>
      <w14:ligatures w14:val="none"/>
    </w:rPr>
  </w:style>
  <w:style w:type="paragraph" w:styleId="NormaleWeb">
    <w:name w:val="Normal (Web)"/>
    <w:basedOn w:val="Normale"/>
    <w:uiPriority w:val="99"/>
    <w:semiHidden/>
    <w:unhideWhenUsed/>
    <w:rsid w:val="00DF6CA2"/>
    <w:pPr>
      <w:spacing w:before="100" w:beforeAutospacing="1" w:after="100" w:afterAutospacing="1" w:line="240" w:lineRule="auto"/>
    </w:pPr>
    <w:rPr>
      <w:rFonts w:ascii="Times New Roman" w:eastAsia="Times New Roman" w:hAnsi="Times New Roman" w:cs="Times New Roman"/>
      <w:color w:val="auto"/>
      <w:kern w:val="0"/>
      <w:sz w:val="24"/>
      <w:szCs w:val="24"/>
      <w:lang w:val="it-IT" w:eastAsia="it-IT"/>
      <w14:ligatures w14:val="none"/>
    </w:rPr>
  </w:style>
  <w:style w:type="character" w:styleId="Collegamentoipertestuale">
    <w:name w:val="Hyperlink"/>
    <w:basedOn w:val="Carpredefinitoparagrafo"/>
    <w:uiPriority w:val="99"/>
    <w:unhideWhenUsed/>
    <w:rsid w:val="005D76C9"/>
    <w:rPr>
      <w:color w:val="0000FF"/>
      <w:u w:val="single"/>
    </w:rPr>
  </w:style>
  <w:style w:type="character" w:styleId="Collegamentovisitato">
    <w:name w:val="FollowedHyperlink"/>
    <w:basedOn w:val="Carpredefinitoparagrafo"/>
    <w:uiPriority w:val="99"/>
    <w:semiHidden/>
    <w:unhideWhenUsed/>
    <w:rsid w:val="005D76C9"/>
    <w:rPr>
      <w:color w:val="800080"/>
      <w:u w:val="single"/>
    </w:rPr>
  </w:style>
  <w:style w:type="paragraph" w:customStyle="1" w:styleId="msonormal0">
    <w:name w:val="msonormal"/>
    <w:basedOn w:val="Normale"/>
    <w:rsid w:val="005D76C9"/>
    <w:pPr>
      <w:spacing w:before="100" w:beforeAutospacing="1" w:after="100" w:afterAutospacing="1" w:line="240" w:lineRule="auto"/>
    </w:pPr>
    <w:rPr>
      <w:rFonts w:ascii="Times New Roman" w:eastAsia="Times New Roman" w:hAnsi="Times New Roman" w:cs="Times New Roman"/>
      <w:color w:val="auto"/>
      <w:kern w:val="0"/>
      <w:sz w:val="24"/>
      <w:szCs w:val="24"/>
      <w:lang w:val="it-IT" w:eastAsia="it-IT"/>
      <w14:ligatures w14:val="none"/>
    </w:rPr>
  </w:style>
  <w:style w:type="paragraph" w:customStyle="1" w:styleId="xl67">
    <w:name w:val="xl67"/>
    <w:basedOn w:val="Normale"/>
    <w:rsid w:val="005D76C9"/>
    <w:pPr>
      <w:spacing w:before="100" w:beforeAutospacing="1" w:after="100" w:afterAutospacing="1" w:line="240" w:lineRule="auto"/>
    </w:pPr>
    <w:rPr>
      <w:rFonts w:ascii="Times New Roman" w:eastAsia="Times New Roman" w:hAnsi="Times New Roman" w:cs="Times New Roman"/>
      <w:color w:val="auto"/>
      <w:kern w:val="0"/>
      <w:sz w:val="18"/>
      <w:szCs w:val="18"/>
      <w:lang w:val="it-IT" w:eastAsia="it-IT"/>
      <w14:ligatures w14:val="none"/>
    </w:rPr>
  </w:style>
  <w:style w:type="paragraph" w:customStyle="1" w:styleId="xl68">
    <w:name w:val="xl68"/>
    <w:basedOn w:val="Normale"/>
    <w:rsid w:val="005D76C9"/>
    <w:pP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18"/>
      <w:szCs w:val="18"/>
      <w:lang w:val="it-IT" w:eastAsia="it-IT"/>
      <w14:ligatures w14:val="none"/>
    </w:rPr>
  </w:style>
  <w:style w:type="paragraph" w:customStyle="1" w:styleId="xl69">
    <w:name w:val="xl69"/>
    <w:basedOn w:val="Normale"/>
    <w:rsid w:val="005D76C9"/>
    <w:pP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auto"/>
      <w:kern w:val="0"/>
      <w:sz w:val="18"/>
      <w:szCs w:val="18"/>
      <w:lang w:val="it-IT" w:eastAsia="it-IT"/>
      <w14:ligatures w14:val="none"/>
    </w:rPr>
  </w:style>
  <w:style w:type="paragraph" w:customStyle="1" w:styleId="xl70">
    <w:name w:val="xl70"/>
    <w:basedOn w:val="Normale"/>
    <w:rsid w:val="005D76C9"/>
    <w:pPr>
      <w:spacing w:before="100" w:beforeAutospacing="1" w:after="100" w:afterAutospacing="1" w:line="240" w:lineRule="auto"/>
    </w:pPr>
    <w:rPr>
      <w:rFonts w:ascii="Times New Roman" w:eastAsia="Times New Roman" w:hAnsi="Times New Roman" w:cs="Times New Roman"/>
      <w:color w:val="auto"/>
      <w:kern w:val="0"/>
      <w:sz w:val="18"/>
      <w:szCs w:val="18"/>
      <w:lang w:val="it-IT" w:eastAsia="it-IT"/>
      <w14:ligatures w14:val="none"/>
    </w:rPr>
  </w:style>
  <w:style w:type="paragraph" w:customStyle="1" w:styleId="xl71">
    <w:name w:val="xl71"/>
    <w:basedOn w:val="Normale"/>
    <w:rsid w:val="005D76C9"/>
    <w:pP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18"/>
      <w:szCs w:val="18"/>
      <w:lang w:val="it-IT" w:eastAsia="it-IT"/>
      <w14:ligatures w14:val="none"/>
    </w:rPr>
  </w:style>
  <w:style w:type="paragraph" w:customStyle="1" w:styleId="xl72">
    <w:name w:val="xl72"/>
    <w:basedOn w:val="Normale"/>
    <w:rsid w:val="005D76C9"/>
    <w:pP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auto"/>
      <w:kern w:val="0"/>
      <w:sz w:val="18"/>
      <w:szCs w:val="18"/>
      <w:lang w:val="it-IT" w:eastAsia="it-IT"/>
      <w14:ligatures w14:val="none"/>
    </w:rPr>
  </w:style>
  <w:style w:type="character" w:customStyle="1" w:styleId="Menzionenonrisolta1">
    <w:name w:val="Menzione non risolta1"/>
    <w:basedOn w:val="Carpredefinitoparagrafo"/>
    <w:uiPriority w:val="99"/>
    <w:semiHidden/>
    <w:unhideWhenUsed/>
    <w:rsid w:val="00C64DC5"/>
    <w:rPr>
      <w:color w:val="808080"/>
      <w:shd w:val="clear" w:color="auto" w:fill="E6E6E6"/>
    </w:rPr>
  </w:style>
  <w:style w:type="paragraph" w:customStyle="1" w:styleId="xl73">
    <w:name w:val="xl73"/>
    <w:basedOn w:val="Normale"/>
    <w:rsid w:val="00C54789"/>
    <w:pP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24"/>
      <w:szCs w:val="24"/>
      <w:lang w:val="it-IT" w:eastAsia="it-IT"/>
      <w14:ligatures w14:val="none"/>
    </w:rPr>
  </w:style>
  <w:style w:type="paragraph" w:customStyle="1" w:styleId="xl74">
    <w:name w:val="xl74"/>
    <w:basedOn w:val="Normale"/>
    <w:rsid w:val="00377087"/>
    <w:pP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16"/>
      <w:szCs w:val="16"/>
      <w:lang w:val="it-IT"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3920">
      <w:bodyDiv w:val="1"/>
      <w:marLeft w:val="0"/>
      <w:marRight w:val="0"/>
      <w:marTop w:val="0"/>
      <w:marBottom w:val="0"/>
      <w:divBdr>
        <w:top w:val="none" w:sz="0" w:space="0" w:color="auto"/>
        <w:left w:val="none" w:sz="0" w:space="0" w:color="auto"/>
        <w:bottom w:val="none" w:sz="0" w:space="0" w:color="auto"/>
        <w:right w:val="none" w:sz="0" w:space="0" w:color="auto"/>
      </w:divBdr>
    </w:div>
    <w:div w:id="87623999">
      <w:bodyDiv w:val="1"/>
      <w:marLeft w:val="0"/>
      <w:marRight w:val="0"/>
      <w:marTop w:val="0"/>
      <w:marBottom w:val="0"/>
      <w:divBdr>
        <w:top w:val="none" w:sz="0" w:space="0" w:color="auto"/>
        <w:left w:val="none" w:sz="0" w:space="0" w:color="auto"/>
        <w:bottom w:val="none" w:sz="0" w:space="0" w:color="auto"/>
        <w:right w:val="none" w:sz="0" w:space="0" w:color="auto"/>
      </w:divBdr>
    </w:div>
    <w:div w:id="152063821">
      <w:bodyDiv w:val="1"/>
      <w:marLeft w:val="0"/>
      <w:marRight w:val="0"/>
      <w:marTop w:val="0"/>
      <w:marBottom w:val="0"/>
      <w:divBdr>
        <w:top w:val="none" w:sz="0" w:space="0" w:color="auto"/>
        <w:left w:val="none" w:sz="0" w:space="0" w:color="auto"/>
        <w:bottom w:val="none" w:sz="0" w:space="0" w:color="auto"/>
        <w:right w:val="none" w:sz="0" w:space="0" w:color="auto"/>
      </w:divBdr>
    </w:div>
    <w:div w:id="154339319">
      <w:bodyDiv w:val="1"/>
      <w:marLeft w:val="0"/>
      <w:marRight w:val="0"/>
      <w:marTop w:val="0"/>
      <w:marBottom w:val="0"/>
      <w:divBdr>
        <w:top w:val="none" w:sz="0" w:space="0" w:color="auto"/>
        <w:left w:val="none" w:sz="0" w:space="0" w:color="auto"/>
        <w:bottom w:val="none" w:sz="0" w:space="0" w:color="auto"/>
        <w:right w:val="none" w:sz="0" w:space="0" w:color="auto"/>
      </w:divBdr>
    </w:div>
    <w:div w:id="213736364">
      <w:bodyDiv w:val="1"/>
      <w:marLeft w:val="0"/>
      <w:marRight w:val="0"/>
      <w:marTop w:val="0"/>
      <w:marBottom w:val="0"/>
      <w:divBdr>
        <w:top w:val="none" w:sz="0" w:space="0" w:color="auto"/>
        <w:left w:val="none" w:sz="0" w:space="0" w:color="auto"/>
        <w:bottom w:val="none" w:sz="0" w:space="0" w:color="auto"/>
        <w:right w:val="none" w:sz="0" w:space="0" w:color="auto"/>
      </w:divBdr>
    </w:div>
    <w:div w:id="214588867">
      <w:bodyDiv w:val="1"/>
      <w:marLeft w:val="0"/>
      <w:marRight w:val="0"/>
      <w:marTop w:val="0"/>
      <w:marBottom w:val="0"/>
      <w:divBdr>
        <w:top w:val="none" w:sz="0" w:space="0" w:color="auto"/>
        <w:left w:val="none" w:sz="0" w:space="0" w:color="auto"/>
        <w:bottom w:val="none" w:sz="0" w:space="0" w:color="auto"/>
        <w:right w:val="none" w:sz="0" w:space="0" w:color="auto"/>
      </w:divBdr>
    </w:div>
    <w:div w:id="236323460">
      <w:bodyDiv w:val="1"/>
      <w:marLeft w:val="0"/>
      <w:marRight w:val="0"/>
      <w:marTop w:val="0"/>
      <w:marBottom w:val="0"/>
      <w:divBdr>
        <w:top w:val="none" w:sz="0" w:space="0" w:color="auto"/>
        <w:left w:val="none" w:sz="0" w:space="0" w:color="auto"/>
        <w:bottom w:val="none" w:sz="0" w:space="0" w:color="auto"/>
        <w:right w:val="none" w:sz="0" w:space="0" w:color="auto"/>
      </w:divBdr>
    </w:div>
    <w:div w:id="334770968">
      <w:bodyDiv w:val="1"/>
      <w:marLeft w:val="0"/>
      <w:marRight w:val="0"/>
      <w:marTop w:val="0"/>
      <w:marBottom w:val="0"/>
      <w:divBdr>
        <w:top w:val="none" w:sz="0" w:space="0" w:color="auto"/>
        <w:left w:val="none" w:sz="0" w:space="0" w:color="auto"/>
        <w:bottom w:val="none" w:sz="0" w:space="0" w:color="auto"/>
        <w:right w:val="none" w:sz="0" w:space="0" w:color="auto"/>
      </w:divBdr>
    </w:div>
    <w:div w:id="388235482">
      <w:bodyDiv w:val="1"/>
      <w:marLeft w:val="0"/>
      <w:marRight w:val="0"/>
      <w:marTop w:val="0"/>
      <w:marBottom w:val="0"/>
      <w:divBdr>
        <w:top w:val="none" w:sz="0" w:space="0" w:color="auto"/>
        <w:left w:val="none" w:sz="0" w:space="0" w:color="auto"/>
        <w:bottom w:val="none" w:sz="0" w:space="0" w:color="auto"/>
        <w:right w:val="none" w:sz="0" w:space="0" w:color="auto"/>
      </w:divBdr>
      <w:divsChild>
        <w:div w:id="641152281">
          <w:marLeft w:val="0"/>
          <w:marRight w:val="0"/>
          <w:marTop w:val="0"/>
          <w:marBottom w:val="0"/>
          <w:divBdr>
            <w:top w:val="none" w:sz="0" w:space="0" w:color="auto"/>
            <w:left w:val="none" w:sz="0" w:space="0" w:color="auto"/>
            <w:bottom w:val="none" w:sz="0" w:space="0" w:color="auto"/>
            <w:right w:val="none" w:sz="0" w:space="0" w:color="auto"/>
          </w:divBdr>
        </w:div>
      </w:divsChild>
    </w:div>
    <w:div w:id="453332713">
      <w:bodyDiv w:val="1"/>
      <w:marLeft w:val="0"/>
      <w:marRight w:val="0"/>
      <w:marTop w:val="0"/>
      <w:marBottom w:val="0"/>
      <w:divBdr>
        <w:top w:val="none" w:sz="0" w:space="0" w:color="auto"/>
        <w:left w:val="none" w:sz="0" w:space="0" w:color="auto"/>
        <w:bottom w:val="none" w:sz="0" w:space="0" w:color="auto"/>
        <w:right w:val="none" w:sz="0" w:space="0" w:color="auto"/>
      </w:divBdr>
    </w:div>
    <w:div w:id="473760909">
      <w:bodyDiv w:val="1"/>
      <w:marLeft w:val="0"/>
      <w:marRight w:val="0"/>
      <w:marTop w:val="0"/>
      <w:marBottom w:val="0"/>
      <w:divBdr>
        <w:top w:val="none" w:sz="0" w:space="0" w:color="auto"/>
        <w:left w:val="none" w:sz="0" w:space="0" w:color="auto"/>
        <w:bottom w:val="none" w:sz="0" w:space="0" w:color="auto"/>
        <w:right w:val="none" w:sz="0" w:space="0" w:color="auto"/>
      </w:divBdr>
    </w:div>
    <w:div w:id="492642886">
      <w:bodyDiv w:val="1"/>
      <w:marLeft w:val="0"/>
      <w:marRight w:val="0"/>
      <w:marTop w:val="0"/>
      <w:marBottom w:val="0"/>
      <w:divBdr>
        <w:top w:val="none" w:sz="0" w:space="0" w:color="auto"/>
        <w:left w:val="none" w:sz="0" w:space="0" w:color="auto"/>
        <w:bottom w:val="none" w:sz="0" w:space="0" w:color="auto"/>
        <w:right w:val="none" w:sz="0" w:space="0" w:color="auto"/>
      </w:divBdr>
    </w:div>
    <w:div w:id="531263099">
      <w:bodyDiv w:val="1"/>
      <w:marLeft w:val="0"/>
      <w:marRight w:val="0"/>
      <w:marTop w:val="0"/>
      <w:marBottom w:val="0"/>
      <w:divBdr>
        <w:top w:val="none" w:sz="0" w:space="0" w:color="auto"/>
        <w:left w:val="none" w:sz="0" w:space="0" w:color="auto"/>
        <w:bottom w:val="none" w:sz="0" w:space="0" w:color="auto"/>
        <w:right w:val="none" w:sz="0" w:space="0" w:color="auto"/>
      </w:divBdr>
    </w:div>
    <w:div w:id="591931809">
      <w:bodyDiv w:val="1"/>
      <w:marLeft w:val="0"/>
      <w:marRight w:val="0"/>
      <w:marTop w:val="0"/>
      <w:marBottom w:val="0"/>
      <w:divBdr>
        <w:top w:val="none" w:sz="0" w:space="0" w:color="auto"/>
        <w:left w:val="none" w:sz="0" w:space="0" w:color="auto"/>
        <w:bottom w:val="none" w:sz="0" w:space="0" w:color="auto"/>
        <w:right w:val="none" w:sz="0" w:space="0" w:color="auto"/>
      </w:divBdr>
    </w:div>
    <w:div w:id="606502678">
      <w:bodyDiv w:val="1"/>
      <w:marLeft w:val="0"/>
      <w:marRight w:val="0"/>
      <w:marTop w:val="0"/>
      <w:marBottom w:val="0"/>
      <w:divBdr>
        <w:top w:val="none" w:sz="0" w:space="0" w:color="auto"/>
        <w:left w:val="none" w:sz="0" w:space="0" w:color="auto"/>
        <w:bottom w:val="none" w:sz="0" w:space="0" w:color="auto"/>
        <w:right w:val="none" w:sz="0" w:space="0" w:color="auto"/>
      </w:divBdr>
    </w:div>
    <w:div w:id="608901278">
      <w:bodyDiv w:val="1"/>
      <w:marLeft w:val="0"/>
      <w:marRight w:val="0"/>
      <w:marTop w:val="0"/>
      <w:marBottom w:val="0"/>
      <w:divBdr>
        <w:top w:val="none" w:sz="0" w:space="0" w:color="auto"/>
        <w:left w:val="none" w:sz="0" w:space="0" w:color="auto"/>
        <w:bottom w:val="none" w:sz="0" w:space="0" w:color="auto"/>
        <w:right w:val="none" w:sz="0" w:space="0" w:color="auto"/>
      </w:divBdr>
    </w:div>
    <w:div w:id="623463893">
      <w:bodyDiv w:val="1"/>
      <w:marLeft w:val="0"/>
      <w:marRight w:val="0"/>
      <w:marTop w:val="0"/>
      <w:marBottom w:val="0"/>
      <w:divBdr>
        <w:top w:val="none" w:sz="0" w:space="0" w:color="auto"/>
        <w:left w:val="none" w:sz="0" w:space="0" w:color="auto"/>
        <w:bottom w:val="none" w:sz="0" w:space="0" w:color="auto"/>
        <w:right w:val="none" w:sz="0" w:space="0" w:color="auto"/>
      </w:divBdr>
    </w:div>
    <w:div w:id="656109014">
      <w:bodyDiv w:val="1"/>
      <w:marLeft w:val="0"/>
      <w:marRight w:val="0"/>
      <w:marTop w:val="0"/>
      <w:marBottom w:val="0"/>
      <w:divBdr>
        <w:top w:val="none" w:sz="0" w:space="0" w:color="auto"/>
        <w:left w:val="none" w:sz="0" w:space="0" w:color="auto"/>
        <w:bottom w:val="none" w:sz="0" w:space="0" w:color="auto"/>
        <w:right w:val="none" w:sz="0" w:space="0" w:color="auto"/>
      </w:divBdr>
    </w:div>
    <w:div w:id="713164902">
      <w:bodyDiv w:val="1"/>
      <w:marLeft w:val="0"/>
      <w:marRight w:val="0"/>
      <w:marTop w:val="0"/>
      <w:marBottom w:val="0"/>
      <w:divBdr>
        <w:top w:val="none" w:sz="0" w:space="0" w:color="auto"/>
        <w:left w:val="none" w:sz="0" w:space="0" w:color="auto"/>
        <w:bottom w:val="none" w:sz="0" w:space="0" w:color="auto"/>
        <w:right w:val="none" w:sz="0" w:space="0" w:color="auto"/>
      </w:divBdr>
    </w:div>
    <w:div w:id="717125521">
      <w:bodyDiv w:val="1"/>
      <w:marLeft w:val="0"/>
      <w:marRight w:val="0"/>
      <w:marTop w:val="0"/>
      <w:marBottom w:val="0"/>
      <w:divBdr>
        <w:top w:val="none" w:sz="0" w:space="0" w:color="auto"/>
        <w:left w:val="none" w:sz="0" w:space="0" w:color="auto"/>
        <w:bottom w:val="none" w:sz="0" w:space="0" w:color="auto"/>
        <w:right w:val="none" w:sz="0" w:space="0" w:color="auto"/>
      </w:divBdr>
    </w:div>
    <w:div w:id="754858483">
      <w:bodyDiv w:val="1"/>
      <w:marLeft w:val="0"/>
      <w:marRight w:val="0"/>
      <w:marTop w:val="0"/>
      <w:marBottom w:val="0"/>
      <w:divBdr>
        <w:top w:val="none" w:sz="0" w:space="0" w:color="auto"/>
        <w:left w:val="none" w:sz="0" w:space="0" w:color="auto"/>
        <w:bottom w:val="none" w:sz="0" w:space="0" w:color="auto"/>
        <w:right w:val="none" w:sz="0" w:space="0" w:color="auto"/>
      </w:divBdr>
    </w:div>
    <w:div w:id="787505044">
      <w:bodyDiv w:val="1"/>
      <w:marLeft w:val="0"/>
      <w:marRight w:val="0"/>
      <w:marTop w:val="0"/>
      <w:marBottom w:val="0"/>
      <w:divBdr>
        <w:top w:val="none" w:sz="0" w:space="0" w:color="auto"/>
        <w:left w:val="none" w:sz="0" w:space="0" w:color="auto"/>
        <w:bottom w:val="none" w:sz="0" w:space="0" w:color="auto"/>
        <w:right w:val="none" w:sz="0" w:space="0" w:color="auto"/>
      </w:divBdr>
    </w:div>
    <w:div w:id="790247633">
      <w:bodyDiv w:val="1"/>
      <w:marLeft w:val="0"/>
      <w:marRight w:val="0"/>
      <w:marTop w:val="0"/>
      <w:marBottom w:val="0"/>
      <w:divBdr>
        <w:top w:val="none" w:sz="0" w:space="0" w:color="auto"/>
        <w:left w:val="none" w:sz="0" w:space="0" w:color="auto"/>
        <w:bottom w:val="none" w:sz="0" w:space="0" w:color="auto"/>
        <w:right w:val="none" w:sz="0" w:space="0" w:color="auto"/>
      </w:divBdr>
    </w:div>
    <w:div w:id="810363829">
      <w:bodyDiv w:val="1"/>
      <w:marLeft w:val="0"/>
      <w:marRight w:val="0"/>
      <w:marTop w:val="0"/>
      <w:marBottom w:val="0"/>
      <w:divBdr>
        <w:top w:val="none" w:sz="0" w:space="0" w:color="auto"/>
        <w:left w:val="none" w:sz="0" w:space="0" w:color="auto"/>
        <w:bottom w:val="none" w:sz="0" w:space="0" w:color="auto"/>
        <w:right w:val="none" w:sz="0" w:space="0" w:color="auto"/>
      </w:divBdr>
    </w:div>
    <w:div w:id="857154685">
      <w:bodyDiv w:val="1"/>
      <w:marLeft w:val="0"/>
      <w:marRight w:val="0"/>
      <w:marTop w:val="0"/>
      <w:marBottom w:val="0"/>
      <w:divBdr>
        <w:top w:val="none" w:sz="0" w:space="0" w:color="auto"/>
        <w:left w:val="none" w:sz="0" w:space="0" w:color="auto"/>
        <w:bottom w:val="none" w:sz="0" w:space="0" w:color="auto"/>
        <w:right w:val="none" w:sz="0" w:space="0" w:color="auto"/>
      </w:divBdr>
    </w:div>
    <w:div w:id="912739142">
      <w:bodyDiv w:val="1"/>
      <w:marLeft w:val="0"/>
      <w:marRight w:val="0"/>
      <w:marTop w:val="0"/>
      <w:marBottom w:val="0"/>
      <w:divBdr>
        <w:top w:val="none" w:sz="0" w:space="0" w:color="auto"/>
        <w:left w:val="none" w:sz="0" w:space="0" w:color="auto"/>
        <w:bottom w:val="none" w:sz="0" w:space="0" w:color="auto"/>
        <w:right w:val="none" w:sz="0" w:space="0" w:color="auto"/>
      </w:divBdr>
    </w:div>
    <w:div w:id="945430872">
      <w:bodyDiv w:val="1"/>
      <w:marLeft w:val="0"/>
      <w:marRight w:val="0"/>
      <w:marTop w:val="0"/>
      <w:marBottom w:val="0"/>
      <w:divBdr>
        <w:top w:val="none" w:sz="0" w:space="0" w:color="auto"/>
        <w:left w:val="none" w:sz="0" w:space="0" w:color="auto"/>
        <w:bottom w:val="none" w:sz="0" w:space="0" w:color="auto"/>
        <w:right w:val="none" w:sz="0" w:space="0" w:color="auto"/>
      </w:divBdr>
    </w:div>
    <w:div w:id="976641285">
      <w:bodyDiv w:val="1"/>
      <w:marLeft w:val="0"/>
      <w:marRight w:val="0"/>
      <w:marTop w:val="0"/>
      <w:marBottom w:val="0"/>
      <w:divBdr>
        <w:top w:val="none" w:sz="0" w:space="0" w:color="auto"/>
        <w:left w:val="none" w:sz="0" w:space="0" w:color="auto"/>
        <w:bottom w:val="none" w:sz="0" w:space="0" w:color="auto"/>
        <w:right w:val="none" w:sz="0" w:space="0" w:color="auto"/>
      </w:divBdr>
    </w:div>
    <w:div w:id="983121931">
      <w:bodyDiv w:val="1"/>
      <w:marLeft w:val="0"/>
      <w:marRight w:val="0"/>
      <w:marTop w:val="0"/>
      <w:marBottom w:val="0"/>
      <w:divBdr>
        <w:top w:val="none" w:sz="0" w:space="0" w:color="auto"/>
        <w:left w:val="none" w:sz="0" w:space="0" w:color="auto"/>
        <w:bottom w:val="none" w:sz="0" w:space="0" w:color="auto"/>
        <w:right w:val="none" w:sz="0" w:space="0" w:color="auto"/>
      </w:divBdr>
    </w:div>
    <w:div w:id="1022826344">
      <w:bodyDiv w:val="1"/>
      <w:marLeft w:val="0"/>
      <w:marRight w:val="0"/>
      <w:marTop w:val="0"/>
      <w:marBottom w:val="0"/>
      <w:divBdr>
        <w:top w:val="none" w:sz="0" w:space="0" w:color="auto"/>
        <w:left w:val="none" w:sz="0" w:space="0" w:color="auto"/>
        <w:bottom w:val="none" w:sz="0" w:space="0" w:color="auto"/>
        <w:right w:val="none" w:sz="0" w:space="0" w:color="auto"/>
      </w:divBdr>
    </w:div>
    <w:div w:id="1024289322">
      <w:bodyDiv w:val="1"/>
      <w:marLeft w:val="0"/>
      <w:marRight w:val="0"/>
      <w:marTop w:val="0"/>
      <w:marBottom w:val="0"/>
      <w:divBdr>
        <w:top w:val="none" w:sz="0" w:space="0" w:color="auto"/>
        <w:left w:val="none" w:sz="0" w:space="0" w:color="auto"/>
        <w:bottom w:val="none" w:sz="0" w:space="0" w:color="auto"/>
        <w:right w:val="none" w:sz="0" w:space="0" w:color="auto"/>
      </w:divBdr>
    </w:div>
    <w:div w:id="1048794558">
      <w:bodyDiv w:val="1"/>
      <w:marLeft w:val="0"/>
      <w:marRight w:val="0"/>
      <w:marTop w:val="0"/>
      <w:marBottom w:val="0"/>
      <w:divBdr>
        <w:top w:val="none" w:sz="0" w:space="0" w:color="auto"/>
        <w:left w:val="none" w:sz="0" w:space="0" w:color="auto"/>
        <w:bottom w:val="none" w:sz="0" w:space="0" w:color="auto"/>
        <w:right w:val="none" w:sz="0" w:space="0" w:color="auto"/>
      </w:divBdr>
    </w:div>
    <w:div w:id="1059935953">
      <w:bodyDiv w:val="1"/>
      <w:marLeft w:val="0"/>
      <w:marRight w:val="0"/>
      <w:marTop w:val="0"/>
      <w:marBottom w:val="0"/>
      <w:divBdr>
        <w:top w:val="none" w:sz="0" w:space="0" w:color="auto"/>
        <w:left w:val="none" w:sz="0" w:space="0" w:color="auto"/>
        <w:bottom w:val="none" w:sz="0" w:space="0" w:color="auto"/>
        <w:right w:val="none" w:sz="0" w:space="0" w:color="auto"/>
      </w:divBdr>
    </w:div>
    <w:div w:id="1067073013">
      <w:bodyDiv w:val="1"/>
      <w:marLeft w:val="0"/>
      <w:marRight w:val="0"/>
      <w:marTop w:val="0"/>
      <w:marBottom w:val="0"/>
      <w:divBdr>
        <w:top w:val="none" w:sz="0" w:space="0" w:color="auto"/>
        <w:left w:val="none" w:sz="0" w:space="0" w:color="auto"/>
        <w:bottom w:val="none" w:sz="0" w:space="0" w:color="auto"/>
        <w:right w:val="none" w:sz="0" w:space="0" w:color="auto"/>
      </w:divBdr>
    </w:div>
    <w:div w:id="1161118527">
      <w:bodyDiv w:val="1"/>
      <w:marLeft w:val="0"/>
      <w:marRight w:val="0"/>
      <w:marTop w:val="0"/>
      <w:marBottom w:val="0"/>
      <w:divBdr>
        <w:top w:val="none" w:sz="0" w:space="0" w:color="auto"/>
        <w:left w:val="none" w:sz="0" w:space="0" w:color="auto"/>
        <w:bottom w:val="none" w:sz="0" w:space="0" w:color="auto"/>
        <w:right w:val="none" w:sz="0" w:space="0" w:color="auto"/>
      </w:divBdr>
    </w:div>
    <w:div w:id="1167593430">
      <w:bodyDiv w:val="1"/>
      <w:marLeft w:val="0"/>
      <w:marRight w:val="0"/>
      <w:marTop w:val="0"/>
      <w:marBottom w:val="0"/>
      <w:divBdr>
        <w:top w:val="none" w:sz="0" w:space="0" w:color="auto"/>
        <w:left w:val="none" w:sz="0" w:space="0" w:color="auto"/>
        <w:bottom w:val="none" w:sz="0" w:space="0" w:color="auto"/>
        <w:right w:val="none" w:sz="0" w:space="0" w:color="auto"/>
      </w:divBdr>
    </w:div>
    <w:div w:id="1180857236">
      <w:bodyDiv w:val="1"/>
      <w:marLeft w:val="0"/>
      <w:marRight w:val="0"/>
      <w:marTop w:val="0"/>
      <w:marBottom w:val="0"/>
      <w:divBdr>
        <w:top w:val="none" w:sz="0" w:space="0" w:color="auto"/>
        <w:left w:val="none" w:sz="0" w:space="0" w:color="auto"/>
        <w:bottom w:val="none" w:sz="0" w:space="0" w:color="auto"/>
        <w:right w:val="none" w:sz="0" w:space="0" w:color="auto"/>
      </w:divBdr>
    </w:div>
    <w:div w:id="1184441344">
      <w:bodyDiv w:val="1"/>
      <w:marLeft w:val="0"/>
      <w:marRight w:val="0"/>
      <w:marTop w:val="0"/>
      <w:marBottom w:val="0"/>
      <w:divBdr>
        <w:top w:val="none" w:sz="0" w:space="0" w:color="auto"/>
        <w:left w:val="none" w:sz="0" w:space="0" w:color="auto"/>
        <w:bottom w:val="none" w:sz="0" w:space="0" w:color="auto"/>
        <w:right w:val="none" w:sz="0" w:space="0" w:color="auto"/>
      </w:divBdr>
    </w:div>
    <w:div w:id="1218976778">
      <w:bodyDiv w:val="1"/>
      <w:marLeft w:val="0"/>
      <w:marRight w:val="0"/>
      <w:marTop w:val="0"/>
      <w:marBottom w:val="0"/>
      <w:divBdr>
        <w:top w:val="none" w:sz="0" w:space="0" w:color="auto"/>
        <w:left w:val="none" w:sz="0" w:space="0" w:color="auto"/>
        <w:bottom w:val="none" w:sz="0" w:space="0" w:color="auto"/>
        <w:right w:val="none" w:sz="0" w:space="0" w:color="auto"/>
      </w:divBdr>
    </w:div>
    <w:div w:id="1349990729">
      <w:bodyDiv w:val="1"/>
      <w:marLeft w:val="0"/>
      <w:marRight w:val="0"/>
      <w:marTop w:val="0"/>
      <w:marBottom w:val="0"/>
      <w:divBdr>
        <w:top w:val="none" w:sz="0" w:space="0" w:color="auto"/>
        <w:left w:val="none" w:sz="0" w:space="0" w:color="auto"/>
        <w:bottom w:val="none" w:sz="0" w:space="0" w:color="auto"/>
        <w:right w:val="none" w:sz="0" w:space="0" w:color="auto"/>
      </w:divBdr>
    </w:div>
    <w:div w:id="1367754195">
      <w:bodyDiv w:val="1"/>
      <w:marLeft w:val="0"/>
      <w:marRight w:val="0"/>
      <w:marTop w:val="0"/>
      <w:marBottom w:val="0"/>
      <w:divBdr>
        <w:top w:val="none" w:sz="0" w:space="0" w:color="auto"/>
        <w:left w:val="none" w:sz="0" w:space="0" w:color="auto"/>
        <w:bottom w:val="none" w:sz="0" w:space="0" w:color="auto"/>
        <w:right w:val="none" w:sz="0" w:space="0" w:color="auto"/>
      </w:divBdr>
    </w:div>
    <w:div w:id="1383097117">
      <w:bodyDiv w:val="1"/>
      <w:marLeft w:val="0"/>
      <w:marRight w:val="0"/>
      <w:marTop w:val="0"/>
      <w:marBottom w:val="0"/>
      <w:divBdr>
        <w:top w:val="none" w:sz="0" w:space="0" w:color="auto"/>
        <w:left w:val="none" w:sz="0" w:space="0" w:color="auto"/>
        <w:bottom w:val="none" w:sz="0" w:space="0" w:color="auto"/>
        <w:right w:val="none" w:sz="0" w:space="0" w:color="auto"/>
      </w:divBdr>
    </w:div>
    <w:div w:id="1454131881">
      <w:bodyDiv w:val="1"/>
      <w:marLeft w:val="0"/>
      <w:marRight w:val="0"/>
      <w:marTop w:val="0"/>
      <w:marBottom w:val="0"/>
      <w:divBdr>
        <w:top w:val="none" w:sz="0" w:space="0" w:color="auto"/>
        <w:left w:val="none" w:sz="0" w:space="0" w:color="auto"/>
        <w:bottom w:val="none" w:sz="0" w:space="0" w:color="auto"/>
        <w:right w:val="none" w:sz="0" w:space="0" w:color="auto"/>
      </w:divBdr>
    </w:div>
    <w:div w:id="1501391096">
      <w:bodyDiv w:val="1"/>
      <w:marLeft w:val="0"/>
      <w:marRight w:val="0"/>
      <w:marTop w:val="0"/>
      <w:marBottom w:val="0"/>
      <w:divBdr>
        <w:top w:val="none" w:sz="0" w:space="0" w:color="auto"/>
        <w:left w:val="none" w:sz="0" w:space="0" w:color="auto"/>
        <w:bottom w:val="none" w:sz="0" w:space="0" w:color="auto"/>
        <w:right w:val="none" w:sz="0" w:space="0" w:color="auto"/>
      </w:divBdr>
    </w:div>
    <w:div w:id="1512911511">
      <w:bodyDiv w:val="1"/>
      <w:marLeft w:val="0"/>
      <w:marRight w:val="0"/>
      <w:marTop w:val="0"/>
      <w:marBottom w:val="0"/>
      <w:divBdr>
        <w:top w:val="none" w:sz="0" w:space="0" w:color="auto"/>
        <w:left w:val="none" w:sz="0" w:space="0" w:color="auto"/>
        <w:bottom w:val="none" w:sz="0" w:space="0" w:color="auto"/>
        <w:right w:val="none" w:sz="0" w:space="0" w:color="auto"/>
      </w:divBdr>
    </w:div>
    <w:div w:id="1535000058">
      <w:bodyDiv w:val="1"/>
      <w:marLeft w:val="0"/>
      <w:marRight w:val="0"/>
      <w:marTop w:val="0"/>
      <w:marBottom w:val="0"/>
      <w:divBdr>
        <w:top w:val="none" w:sz="0" w:space="0" w:color="auto"/>
        <w:left w:val="none" w:sz="0" w:space="0" w:color="auto"/>
        <w:bottom w:val="none" w:sz="0" w:space="0" w:color="auto"/>
        <w:right w:val="none" w:sz="0" w:space="0" w:color="auto"/>
      </w:divBdr>
    </w:div>
    <w:div w:id="1537355147">
      <w:bodyDiv w:val="1"/>
      <w:marLeft w:val="0"/>
      <w:marRight w:val="0"/>
      <w:marTop w:val="0"/>
      <w:marBottom w:val="0"/>
      <w:divBdr>
        <w:top w:val="none" w:sz="0" w:space="0" w:color="auto"/>
        <w:left w:val="none" w:sz="0" w:space="0" w:color="auto"/>
        <w:bottom w:val="none" w:sz="0" w:space="0" w:color="auto"/>
        <w:right w:val="none" w:sz="0" w:space="0" w:color="auto"/>
      </w:divBdr>
    </w:div>
    <w:div w:id="1546605455">
      <w:bodyDiv w:val="1"/>
      <w:marLeft w:val="0"/>
      <w:marRight w:val="0"/>
      <w:marTop w:val="0"/>
      <w:marBottom w:val="0"/>
      <w:divBdr>
        <w:top w:val="none" w:sz="0" w:space="0" w:color="auto"/>
        <w:left w:val="none" w:sz="0" w:space="0" w:color="auto"/>
        <w:bottom w:val="none" w:sz="0" w:space="0" w:color="auto"/>
        <w:right w:val="none" w:sz="0" w:space="0" w:color="auto"/>
      </w:divBdr>
    </w:div>
    <w:div w:id="1552956858">
      <w:bodyDiv w:val="1"/>
      <w:marLeft w:val="0"/>
      <w:marRight w:val="0"/>
      <w:marTop w:val="0"/>
      <w:marBottom w:val="0"/>
      <w:divBdr>
        <w:top w:val="none" w:sz="0" w:space="0" w:color="auto"/>
        <w:left w:val="none" w:sz="0" w:space="0" w:color="auto"/>
        <w:bottom w:val="none" w:sz="0" w:space="0" w:color="auto"/>
        <w:right w:val="none" w:sz="0" w:space="0" w:color="auto"/>
      </w:divBdr>
    </w:div>
    <w:div w:id="1603033468">
      <w:bodyDiv w:val="1"/>
      <w:marLeft w:val="0"/>
      <w:marRight w:val="0"/>
      <w:marTop w:val="0"/>
      <w:marBottom w:val="0"/>
      <w:divBdr>
        <w:top w:val="none" w:sz="0" w:space="0" w:color="auto"/>
        <w:left w:val="none" w:sz="0" w:space="0" w:color="auto"/>
        <w:bottom w:val="none" w:sz="0" w:space="0" w:color="auto"/>
        <w:right w:val="none" w:sz="0" w:space="0" w:color="auto"/>
      </w:divBdr>
    </w:div>
    <w:div w:id="1688215880">
      <w:bodyDiv w:val="1"/>
      <w:marLeft w:val="0"/>
      <w:marRight w:val="0"/>
      <w:marTop w:val="0"/>
      <w:marBottom w:val="0"/>
      <w:divBdr>
        <w:top w:val="none" w:sz="0" w:space="0" w:color="auto"/>
        <w:left w:val="none" w:sz="0" w:space="0" w:color="auto"/>
        <w:bottom w:val="none" w:sz="0" w:space="0" w:color="auto"/>
        <w:right w:val="none" w:sz="0" w:space="0" w:color="auto"/>
      </w:divBdr>
    </w:div>
    <w:div w:id="1718311532">
      <w:bodyDiv w:val="1"/>
      <w:marLeft w:val="0"/>
      <w:marRight w:val="0"/>
      <w:marTop w:val="0"/>
      <w:marBottom w:val="0"/>
      <w:divBdr>
        <w:top w:val="none" w:sz="0" w:space="0" w:color="auto"/>
        <w:left w:val="none" w:sz="0" w:space="0" w:color="auto"/>
        <w:bottom w:val="none" w:sz="0" w:space="0" w:color="auto"/>
        <w:right w:val="none" w:sz="0" w:space="0" w:color="auto"/>
      </w:divBdr>
    </w:div>
    <w:div w:id="1763990643">
      <w:bodyDiv w:val="1"/>
      <w:marLeft w:val="0"/>
      <w:marRight w:val="0"/>
      <w:marTop w:val="0"/>
      <w:marBottom w:val="0"/>
      <w:divBdr>
        <w:top w:val="none" w:sz="0" w:space="0" w:color="auto"/>
        <w:left w:val="none" w:sz="0" w:space="0" w:color="auto"/>
        <w:bottom w:val="none" w:sz="0" w:space="0" w:color="auto"/>
        <w:right w:val="none" w:sz="0" w:space="0" w:color="auto"/>
      </w:divBdr>
    </w:div>
    <w:div w:id="1797791382">
      <w:bodyDiv w:val="1"/>
      <w:marLeft w:val="0"/>
      <w:marRight w:val="0"/>
      <w:marTop w:val="0"/>
      <w:marBottom w:val="0"/>
      <w:divBdr>
        <w:top w:val="none" w:sz="0" w:space="0" w:color="auto"/>
        <w:left w:val="none" w:sz="0" w:space="0" w:color="auto"/>
        <w:bottom w:val="none" w:sz="0" w:space="0" w:color="auto"/>
        <w:right w:val="none" w:sz="0" w:space="0" w:color="auto"/>
      </w:divBdr>
    </w:div>
    <w:div w:id="1861896714">
      <w:bodyDiv w:val="1"/>
      <w:marLeft w:val="0"/>
      <w:marRight w:val="0"/>
      <w:marTop w:val="0"/>
      <w:marBottom w:val="0"/>
      <w:divBdr>
        <w:top w:val="none" w:sz="0" w:space="0" w:color="auto"/>
        <w:left w:val="none" w:sz="0" w:space="0" w:color="auto"/>
        <w:bottom w:val="none" w:sz="0" w:space="0" w:color="auto"/>
        <w:right w:val="none" w:sz="0" w:space="0" w:color="auto"/>
      </w:divBdr>
      <w:divsChild>
        <w:div w:id="1905947559">
          <w:marLeft w:val="0"/>
          <w:marRight w:val="0"/>
          <w:marTop w:val="0"/>
          <w:marBottom w:val="0"/>
          <w:divBdr>
            <w:top w:val="none" w:sz="0" w:space="0" w:color="auto"/>
            <w:left w:val="none" w:sz="0" w:space="0" w:color="auto"/>
            <w:bottom w:val="none" w:sz="0" w:space="0" w:color="auto"/>
            <w:right w:val="none" w:sz="0" w:space="0" w:color="auto"/>
          </w:divBdr>
          <w:divsChild>
            <w:div w:id="421488723">
              <w:marLeft w:val="0"/>
              <w:marRight w:val="0"/>
              <w:marTop w:val="0"/>
              <w:marBottom w:val="0"/>
              <w:divBdr>
                <w:top w:val="none" w:sz="0" w:space="0" w:color="auto"/>
                <w:left w:val="none" w:sz="0" w:space="0" w:color="auto"/>
                <w:bottom w:val="none" w:sz="0" w:space="0" w:color="auto"/>
                <w:right w:val="none" w:sz="0" w:space="0" w:color="auto"/>
              </w:divBdr>
              <w:divsChild>
                <w:div w:id="5935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09227">
      <w:bodyDiv w:val="1"/>
      <w:marLeft w:val="0"/>
      <w:marRight w:val="0"/>
      <w:marTop w:val="0"/>
      <w:marBottom w:val="0"/>
      <w:divBdr>
        <w:top w:val="none" w:sz="0" w:space="0" w:color="auto"/>
        <w:left w:val="none" w:sz="0" w:space="0" w:color="auto"/>
        <w:bottom w:val="none" w:sz="0" w:space="0" w:color="auto"/>
        <w:right w:val="none" w:sz="0" w:space="0" w:color="auto"/>
      </w:divBdr>
    </w:div>
    <w:div w:id="1873768136">
      <w:bodyDiv w:val="1"/>
      <w:marLeft w:val="0"/>
      <w:marRight w:val="0"/>
      <w:marTop w:val="0"/>
      <w:marBottom w:val="0"/>
      <w:divBdr>
        <w:top w:val="none" w:sz="0" w:space="0" w:color="auto"/>
        <w:left w:val="none" w:sz="0" w:space="0" w:color="auto"/>
        <w:bottom w:val="none" w:sz="0" w:space="0" w:color="auto"/>
        <w:right w:val="none" w:sz="0" w:space="0" w:color="auto"/>
      </w:divBdr>
    </w:div>
    <w:div w:id="1889292378">
      <w:bodyDiv w:val="1"/>
      <w:marLeft w:val="0"/>
      <w:marRight w:val="0"/>
      <w:marTop w:val="0"/>
      <w:marBottom w:val="0"/>
      <w:divBdr>
        <w:top w:val="none" w:sz="0" w:space="0" w:color="auto"/>
        <w:left w:val="none" w:sz="0" w:space="0" w:color="auto"/>
        <w:bottom w:val="none" w:sz="0" w:space="0" w:color="auto"/>
        <w:right w:val="none" w:sz="0" w:space="0" w:color="auto"/>
      </w:divBdr>
    </w:div>
    <w:div w:id="1991981924">
      <w:bodyDiv w:val="1"/>
      <w:marLeft w:val="0"/>
      <w:marRight w:val="0"/>
      <w:marTop w:val="0"/>
      <w:marBottom w:val="0"/>
      <w:divBdr>
        <w:top w:val="none" w:sz="0" w:space="0" w:color="auto"/>
        <w:left w:val="none" w:sz="0" w:space="0" w:color="auto"/>
        <w:bottom w:val="none" w:sz="0" w:space="0" w:color="auto"/>
        <w:right w:val="none" w:sz="0" w:space="0" w:color="auto"/>
      </w:divBdr>
    </w:div>
    <w:div w:id="2012950018">
      <w:bodyDiv w:val="1"/>
      <w:marLeft w:val="0"/>
      <w:marRight w:val="0"/>
      <w:marTop w:val="0"/>
      <w:marBottom w:val="0"/>
      <w:divBdr>
        <w:top w:val="none" w:sz="0" w:space="0" w:color="auto"/>
        <w:left w:val="none" w:sz="0" w:space="0" w:color="auto"/>
        <w:bottom w:val="none" w:sz="0" w:space="0" w:color="auto"/>
        <w:right w:val="none" w:sz="0" w:space="0" w:color="auto"/>
      </w:divBdr>
    </w:div>
    <w:div w:id="2025202031">
      <w:bodyDiv w:val="1"/>
      <w:marLeft w:val="0"/>
      <w:marRight w:val="0"/>
      <w:marTop w:val="0"/>
      <w:marBottom w:val="0"/>
      <w:divBdr>
        <w:top w:val="none" w:sz="0" w:space="0" w:color="auto"/>
        <w:left w:val="none" w:sz="0" w:space="0" w:color="auto"/>
        <w:bottom w:val="none" w:sz="0" w:space="0" w:color="auto"/>
        <w:right w:val="none" w:sz="0" w:space="0" w:color="auto"/>
      </w:divBdr>
    </w:div>
    <w:div w:id="2071804939">
      <w:bodyDiv w:val="1"/>
      <w:marLeft w:val="0"/>
      <w:marRight w:val="0"/>
      <w:marTop w:val="0"/>
      <w:marBottom w:val="0"/>
      <w:divBdr>
        <w:top w:val="none" w:sz="0" w:space="0" w:color="auto"/>
        <w:left w:val="none" w:sz="0" w:space="0" w:color="auto"/>
        <w:bottom w:val="none" w:sz="0" w:space="0" w:color="auto"/>
        <w:right w:val="none" w:sz="0" w:space="0" w:color="auto"/>
      </w:divBdr>
    </w:div>
    <w:div w:id="210626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money.cnn.com/data/fear-and-greed/"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ter\AppData\Roaming\Microsoft\Templates\Notiziari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0DFC58F5C34CA5977D004AAB13772F"/>
        <w:category>
          <w:name w:val="Generale"/>
          <w:gallery w:val="placeholder"/>
        </w:category>
        <w:types>
          <w:type w:val="bbPlcHdr"/>
        </w:types>
        <w:behaviors>
          <w:behavior w:val="content"/>
        </w:behaviors>
        <w:guid w:val="{A9516CF2-8DC5-410C-85B3-4B37824A12A3}"/>
      </w:docPartPr>
      <w:docPartBody>
        <w:p w:rsidR="00C3557A" w:rsidRDefault="00447E01" w:rsidP="00447E01">
          <w:pPr>
            <w:pStyle w:val="3C0DFC58F5C34CA5977D004AAB13772F"/>
          </w:pPr>
          <w:r w:rsidRPr="0077546C">
            <w:rPr>
              <w:noProof/>
            </w:rPr>
            <w:t>[Fare clic qui per aggiungere una didascalia]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695"/>
    <w:rsid w:val="000157E5"/>
    <w:rsid w:val="000A761A"/>
    <w:rsid w:val="000C6327"/>
    <w:rsid w:val="001D7695"/>
    <w:rsid w:val="00303909"/>
    <w:rsid w:val="00327597"/>
    <w:rsid w:val="0034468A"/>
    <w:rsid w:val="00350736"/>
    <w:rsid w:val="003D2944"/>
    <w:rsid w:val="00437E91"/>
    <w:rsid w:val="00447E01"/>
    <w:rsid w:val="004C6269"/>
    <w:rsid w:val="00532491"/>
    <w:rsid w:val="005810E1"/>
    <w:rsid w:val="005C263D"/>
    <w:rsid w:val="005D0F35"/>
    <w:rsid w:val="005E0206"/>
    <w:rsid w:val="006A6C96"/>
    <w:rsid w:val="006F1AEC"/>
    <w:rsid w:val="00711CD3"/>
    <w:rsid w:val="007C6F8F"/>
    <w:rsid w:val="007C7466"/>
    <w:rsid w:val="007F5C29"/>
    <w:rsid w:val="00814354"/>
    <w:rsid w:val="008A7F25"/>
    <w:rsid w:val="00914BA3"/>
    <w:rsid w:val="00B76394"/>
    <w:rsid w:val="00BD21E1"/>
    <w:rsid w:val="00BE2977"/>
    <w:rsid w:val="00BE7540"/>
    <w:rsid w:val="00C005C1"/>
    <w:rsid w:val="00C3557A"/>
    <w:rsid w:val="00D657D8"/>
    <w:rsid w:val="00DA3803"/>
    <w:rsid w:val="00E01D6A"/>
    <w:rsid w:val="00E43C62"/>
    <w:rsid w:val="00E44275"/>
    <w:rsid w:val="00E673F3"/>
    <w:rsid w:val="00F53A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9A8297E5D084A1A886EC06DC6A5AC00">
    <w:name w:val="49A8297E5D084A1A886EC06DC6A5AC00"/>
  </w:style>
  <w:style w:type="paragraph" w:customStyle="1" w:styleId="4A6B433964C549168D3F9219F89D433B">
    <w:name w:val="4A6B433964C549168D3F9219F89D433B"/>
  </w:style>
  <w:style w:type="paragraph" w:customStyle="1" w:styleId="3C0DFC58F5C34CA5977D004AAB13772F">
    <w:name w:val="3C0DFC58F5C34CA5977D004AAB13772F"/>
    <w:rsid w:val="00447E01"/>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9A8297E5D084A1A886EC06DC6A5AC00">
    <w:name w:val="49A8297E5D084A1A886EC06DC6A5AC00"/>
  </w:style>
  <w:style w:type="paragraph" w:customStyle="1" w:styleId="4A6B433964C549168D3F9219F89D433B">
    <w:name w:val="4A6B433964C549168D3F9219F89D433B"/>
  </w:style>
  <w:style w:type="paragraph" w:customStyle="1" w:styleId="3C0DFC58F5C34CA5977D004AAB13772F">
    <w:name w:val="3C0DFC58F5C34CA5977D004AAB13772F"/>
    <w:rsid w:val="00447E01"/>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79436024-20BD-43ED-9651-D867C005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Notiziario</Template>
  <TotalTime>5442</TotalTime>
  <Pages>1</Pages>
  <Words>2418</Words>
  <Characters>13784</Characters>
  <Application>Microsoft Office Word</Application>
  <DocSecurity>0</DocSecurity>
  <Lines>114</Lines>
  <Paragraphs>32</Paragraphs>
  <ScaleCrop>false</ScaleCrop>
  <HeadingPairs>
    <vt:vector size="8" baseType="variant">
      <vt:variant>
        <vt:lpstr>Titolo</vt:lpstr>
      </vt:variant>
      <vt:variant>
        <vt:i4>1</vt:i4>
      </vt:variant>
      <vt:variant>
        <vt:lpstr>Tittel</vt:lpstr>
      </vt:variant>
      <vt:variant>
        <vt:i4>1</vt:i4>
      </vt:variant>
      <vt:variant>
        <vt:lpstr>Título</vt:lpstr>
      </vt:variant>
      <vt:variant>
        <vt:i4>1</vt:i4>
      </vt:variant>
      <vt:variant>
        <vt:lpstr>Title</vt:lpstr>
      </vt:variant>
      <vt:variant>
        <vt:i4>1</vt:i4>
      </vt:variant>
    </vt:vector>
  </HeadingPairs>
  <TitlesOfParts>
    <vt:vector size="4" baseType="lpstr">
      <vt:lpstr/>
      <vt:lpstr/>
      <vt:lpstr/>
      <vt:lpstr/>
    </vt:vector>
  </TitlesOfParts>
  <Company>Independent Media s.r.l</Company>
  <LinksUpToDate>false</LinksUpToDate>
  <CharactersWithSpaces>16170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Walter Demaria</dc:creator>
  <cp:keywords/>
  <cp:lastModifiedBy>Max</cp:lastModifiedBy>
  <cp:revision>1349</cp:revision>
  <cp:lastPrinted>2018-11-14T16:38:00Z</cp:lastPrinted>
  <dcterms:created xsi:type="dcterms:W3CDTF">2017-09-26T09:14:00Z</dcterms:created>
  <dcterms:modified xsi:type="dcterms:W3CDTF">2018-11-14T16:38:00Z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